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9B" w:rsidRPr="00D0020E" w:rsidRDefault="00D0020E">
      <w:pPr>
        <w:rPr>
          <w:b/>
        </w:rPr>
      </w:pPr>
      <w:r w:rsidRPr="00D0020E">
        <w:rPr>
          <w:b/>
        </w:rPr>
        <w:t>Nutrition and Physical Activity Committee</w:t>
      </w:r>
    </w:p>
    <w:p w:rsidR="00D0020E" w:rsidRDefault="00D0020E">
      <w:pPr>
        <w:rPr>
          <w:b/>
        </w:rPr>
      </w:pPr>
      <w:r w:rsidRPr="00D0020E">
        <w:rPr>
          <w:b/>
        </w:rPr>
        <w:t>2014-15 Draft Work Plan</w:t>
      </w:r>
    </w:p>
    <w:p w:rsidR="00D0020E" w:rsidRDefault="00D0020E">
      <w:pPr>
        <w:rPr>
          <w:b/>
        </w:rPr>
      </w:pPr>
    </w:p>
    <w:tbl>
      <w:tblPr>
        <w:tblStyle w:val="TableGrid"/>
        <w:tblW w:w="9737" w:type="dxa"/>
        <w:tblLook w:val="04A0" w:firstRow="1" w:lastRow="0" w:firstColumn="1" w:lastColumn="0" w:noHBand="0" w:noVBand="1"/>
      </w:tblPr>
      <w:tblGrid>
        <w:gridCol w:w="2988"/>
        <w:gridCol w:w="6749"/>
      </w:tblGrid>
      <w:tr w:rsidR="00D0020E" w:rsidTr="005752F4">
        <w:trPr>
          <w:trHeight w:val="4859"/>
        </w:trPr>
        <w:tc>
          <w:tcPr>
            <w:tcW w:w="9737" w:type="dxa"/>
            <w:gridSpan w:val="2"/>
          </w:tcPr>
          <w:p w:rsidR="00D0020E" w:rsidRPr="00D0020E" w:rsidRDefault="00D0020E">
            <w:pPr>
              <w:rPr>
                <w:b/>
                <w:sz w:val="22"/>
                <w:szCs w:val="22"/>
              </w:rPr>
            </w:pPr>
            <w:r w:rsidRPr="00D0020E">
              <w:rPr>
                <w:b/>
                <w:sz w:val="22"/>
                <w:szCs w:val="22"/>
              </w:rPr>
              <w:t>Committee Purpose</w:t>
            </w:r>
          </w:p>
          <w:p w:rsidR="00D0020E" w:rsidRPr="00D0020E" w:rsidRDefault="00D0020E" w:rsidP="00D0020E">
            <w:pPr>
              <w:rPr>
                <w:rFonts w:eastAsia="Times New Roman" w:cs="Times New Roman"/>
                <w:sz w:val="22"/>
                <w:szCs w:val="22"/>
                <w:lang w:eastAsia="en-US"/>
              </w:rPr>
            </w:pPr>
            <w:r w:rsidRPr="00D0020E">
              <w:rPr>
                <w:rFonts w:eastAsia="Times New Roman" w:cs="Arial"/>
                <w:color w:val="000000"/>
                <w:sz w:val="22"/>
                <w:szCs w:val="22"/>
                <w:lang w:eastAsia="en-US"/>
              </w:rPr>
              <w:t>The Nutrition and Physical Activity Committee provides a forum for individuals and organizations that are committed to expanding quality nutrition, nutrition education and physical activity programs, policies and services in Expanded Learning programs.</w:t>
            </w:r>
          </w:p>
          <w:p w:rsidR="00D0020E" w:rsidRPr="00D0020E" w:rsidRDefault="00D0020E">
            <w:pPr>
              <w:rPr>
                <w:sz w:val="22"/>
                <w:szCs w:val="22"/>
              </w:rPr>
            </w:pPr>
          </w:p>
          <w:p w:rsidR="00D0020E" w:rsidRPr="00D0020E" w:rsidRDefault="00D0020E">
            <w:pPr>
              <w:rPr>
                <w:b/>
                <w:sz w:val="22"/>
                <w:szCs w:val="22"/>
              </w:rPr>
            </w:pPr>
            <w:r w:rsidRPr="00D0020E">
              <w:rPr>
                <w:b/>
                <w:sz w:val="22"/>
                <w:szCs w:val="22"/>
              </w:rPr>
              <w:t>Vision</w:t>
            </w:r>
          </w:p>
          <w:p w:rsidR="00D0020E" w:rsidRPr="00D0020E" w:rsidRDefault="00D0020E" w:rsidP="00D0020E">
            <w:pPr>
              <w:ind w:left="100"/>
              <w:rPr>
                <w:rFonts w:cs="Times New Roman"/>
                <w:sz w:val="22"/>
                <w:szCs w:val="22"/>
                <w:lang w:eastAsia="en-US"/>
              </w:rPr>
            </w:pPr>
            <w:r w:rsidRPr="00D0020E">
              <w:rPr>
                <w:rFonts w:cs="Arial"/>
                <w:color w:val="000000"/>
                <w:sz w:val="22"/>
                <w:szCs w:val="22"/>
                <w:lang w:eastAsia="en-US"/>
              </w:rPr>
              <w:t>All afterschool programs (including before school, after school and summer) will have healthy environments that incorporate healthy food and physical activity.</w:t>
            </w:r>
          </w:p>
          <w:p w:rsidR="00D0020E" w:rsidRPr="00D0020E" w:rsidRDefault="00D0020E">
            <w:pPr>
              <w:rPr>
                <w:sz w:val="22"/>
                <w:szCs w:val="22"/>
              </w:rPr>
            </w:pPr>
          </w:p>
          <w:p w:rsidR="00D0020E" w:rsidRPr="00D0020E" w:rsidRDefault="00D0020E">
            <w:pPr>
              <w:rPr>
                <w:b/>
                <w:sz w:val="22"/>
                <w:szCs w:val="22"/>
              </w:rPr>
            </w:pPr>
            <w:r w:rsidRPr="00D0020E">
              <w:rPr>
                <w:b/>
                <w:sz w:val="22"/>
                <w:szCs w:val="22"/>
              </w:rPr>
              <w:t>Goals:</w:t>
            </w:r>
          </w:p>
          <w:p w:rsidR="00D0020E" w:rsidRPr="00D0020E" w:rsidRDefault="00D0020E" w:rsidP="00D0020E">
            <w:pPr>
              <w:pStyle w:val="ListParagraph"/>
              <w:numPr>
                <w:ilvl w:val="0"/>
                <w:numId w:val="1"/>
              </w:numPr>
              <w:rPr>
                <w:rFonts w:cs="Times New Roman"/>
                <w:sz w:val="22"/>
                <w:szCs w:val="22"/>
                <w:lang w:eastAsia="en-US"/>
              </w:rPr>
            </w:pPr>
            <w:r w:rsidRPr="00D0020E">
              <w:rPr>
                <w:rFonts w:cs="Arial"/>
                <w:color w:val="000000"/>
                <w:sz w:val="22"/>
                <w:szCs w:val="22"/>
                <w:lang w:eastAsia="en-US"/>
              </w:rPr>
              <w:t>Promote organizational change and a culture that support healthy eating, nutrition education, physical activity and food security (from the Network members and organizations to the programs to the staff to the kids and their families and communities, including stakeholders).</w:t>
            </w:r>
          </w:p>
          <w:p w:rsidR="00D0020E" w:rsidRPr="00D0020E" w:rsidRDefault="00D0020E" w:rsidP="00D0020E">
            <w:pPr>
              <w:pStyle w:val="ListParagraph"/>
              <w:numPr>
                <w:ilvl w:val="0"/>
                <w:numId w:val="1"/>
              </w:numPr>
              <w:rPr>
                <w:rFonts w:cs="Times New Roman"/>
                <w:sz w:val="22"/>
                <w:szCs w:val="22"/>
                <w:lang w:eastAsia="en-US"/>
              </w:rPr>
            </w:pPr>
            <w:r w:rsidRPr="00D0020E">
              <w:rPr>
                <w:rFonts w:cs="Arial"/>
                <w:color w:val="000000"/>
                <w:sz w:val="22"/>
                <w:szCs w:val="22"/>
                <w:lang w:eastAsia="en-US"/>
              </w:rPr>
              <w:t>Expand membership and participation.</w:t>
            </w:r>
          </w:p>
          <w:p w:rsidR="00D0020E" w:rsidRPr="00D0020E" w:rsidRDefault="00D0020E" w:rsidP="00D0020E">
            <w:pPr>
              <w:pStyle w:val="ListParagraph"/>
              <w:numPr>
                <w:ilvl w:val="0"/>
                <w:numId w:val="1"/>
              </w:numPr>
              <w:rPr>
                <w:rFonts w:cs="Times New Roman"/>
                <w:sz w:val="22"/>
                <w:szCs w:val="22"/>
                <w:lang w:eastAsia="en-US"/>
              </w:rPr>
            </w:pPr>
            <w:r w:rsidRPr="00D0020E">
              <w:rPr>
                <w:rFonts w:cs="Arial"/>
                <w:color w:val="000000"/>
                <w:sz w:val="22"/>
                <w:szCs w:val="22"/>
                <w:lang w:eastAsia="en-US"/>
              </w:rPr>
              <w:t>Promote youth leadership and engagement.</w:t>
            </w:r>
          </w:p>
          <w:p w:rsidR="00D0020E" w:rsidRPr="00D0020E" w:rsidRDefault="00D0020E" w:rsidP="00D0020E">
            <w:pPr>
              <w:pStyle w:val="ListParagraph"/>
              <w:numPr>
                <w:ilvl w:val="0"/>
                <w:numId w:val="1"/>
              </w:numPr>
              <w:rPr>
                <w:rFonts w:cs="Times New Roman"/>
                <w:sz w:val="22"/>
                <w:szCs w:val="22"/>
                <w:lang w:eastAsia="en-US"/>
              </w:rPr>
            </w:pPr>
            <w:r w:rsidRPr="00D0020E">
              <w:rPr>
                <w:rFonts w:cs="Arial"/>
                <w:color w:val="000000"/>
                <w:sz w:val="22"/>
                <w:szCs w:val="22"/>
                <w:lang w:eastAsia="en-US"/>
              </w:rPr>
              <w:t>Actively partner with like-minded organizations and initiatives to achieve our vision.</w:t>
            </w:r>
          </w:p>
          <w:p w:rsidR="00D0020E" w:rsidRPr="005752F4" w:rsidRDefault="00D0020E" w:rsidP="005752F4">
            <w:pPr>
              <w:pStyle w:val="ListParagraph"/>
              <w:numPr>
                <w:ilvl w:val="0"/>
                <w:numId w:val="1"/>
              </w:numPr>
              <w:rPr>
                <w:rFonts w:cs="Times New Roman"/>
                <w:sz w:val="22"/>
                <w:szCs w:val="22"/>
                <w:lang w:eastAsia="en-US"/>
              </w:rPr>
            </w:pPr>
            <w:r w:rsidRPr="00D0020E">
              <w:rPr>
                <w:rFonts w:eastAsia="Times New Roman" w:cs="Arial"/>
                <w:color w:val="000000"/>
                <w:sz w:val="22"/>
                <w:szCs w:val="22"/>
                <w:lang w:eastAsia="en-US"/>
              </w:rPr>
              <w:t>Provide information about federal, state and local resources, policies, and programs that may support healthy eating and physical activity in Expanding Learning.</w:t>
            </w:r>
          </w:p>
        </w:tc>
      </w:tr>
      <w:tr w:rsidR="00502283" w:rsidTr="00044FED">
        <w:trPr>
          <w:trHeight w:val="280"/>
        </w:trPr>
        <w:tc>
          <w:tcPr>
            <w:tcW w:w="2988" w:type="dxa"/>
          </w:tcPr>
          <w:p w:rsidR="00502283" w:rsidRPr="00502283" w:rsidRDefault="00502283" w:rsidP="00502283">
            <w:pPr>
              <w:jc w:val="center"/>
              <w:rPr>
                <w:b/>
              </w:rPr>
            </w:pPr>
            <w:r w:rsidRPr="00502283">
              <w:rPr>
                <w:b/>
              </w:rPr>
              <w:t>Strategy</w:t>
            </w:r>
          </w:p>
        </w:tc>
        <w:tc>
          <w:tcPr>
            <w:tcW w:w="6749" w:type="dxa"/>
          </w:tcPr>
          <w:p w:rsidR="00502283" w:rsidRPr="00502283" w:rsidRDefault="00502283" w:rsidP="00502283">
            <w:pPr>
              <w:jc w:val="center"/>
              <w:rPr>
                <w:b/>
              </w:rPr>
            </w:pPr>
            <w:r w:rsidRPr="00502283">
              <w:rPr>
                <w:b/>
              </w:rPr>
              <w:t>Potential Activities</w:t>
            </w:r>
          </w:p>
        </w:tc>
      </w:tr>
      <w:tr w:rsidR="00502283" w:rsidTr="00044FED">
        <w:trPr>
          <w:trHeight w:val="1808"/>
        </w:trPr>
        <w:tc>
          <w:tcPr>
            <w:tcW w:w="2988" w:type="dxa"/>
          </w:tcPr>
          <w:p w:rsidR="00502283" w:rsidRPr="00502283" w:rsidRDefault="00502283">
            <w:pPr>
              <w:rPr>
                <w:b/>
              </w:rPr>
            </w:pPr>
            <w:r w:rsidRPr="00502283">
              <w:rPr>
                <w:b/>
              </w:rPr>
              <w:t>Advance the meal program</w:t>
            </w:r>
          </w:p>
          <w:p w:rsidR="00502283" w:rsidRDefault="00502283">
            <w:r>
              <w:t xml:space="preserve"> </w:t>
            </w:r>
          </w:p>
        </w:tc>
        <w:tc>
          <w:tcPr>
            <w:tcW w:w="6749" w:type="dxa"/>
          </w:tcPr>
          <w:p w:rsidR="00502283" w:rsidRDefault="00502283" w:rsidP="00502283">
            <w:r>
              <w:t>• Maintain web page on meal program</w:t>
            </w:r>
          </w:p>
          <w:p w:rsidR="00502283" w:rsidRDefault="00502283" w:rsidP="00502283">
            <w:r>
              <w:t>• Work with multiple organizations</w:t>
            </w:r>
            <w:r w:rsidR="00A4601C">
              <w:t xml:space="preserve"> (such as the CDE Nutrition Services Division and Summer Meal Coalition)</w:t>
            </w:r>
            <w:r>
              <w:t xml:space="preserve"> to implement outreach</w:t>
            </w:r>
          </w:p>
          <w:p w:rsidR="00502283" w:rsidRDefault="00502283" w:rsidP="00502283">
            <w:r>
              <w:t>• Promote promising practices including farm to school in expanded learning</w:t>
            </w:r>
          </w:p>
          <w:p w:rsidR="00502283" w:rsidRDefault="00502283" w:rsidP="00502283">
            <w:r>
              <w:t xml:space="preserve">• Promote resources including the </w:t>
            </w:r>
            <w:proofErr w:type="spellStart"/>
            <w:r>
              <w:t>CANFit</w:t>
            </w:r>
            <w:proofErr w:type="spellEnd"/>
            <w:r>
              <w:t xml:space="preserve"> healthy meal guide.  </w:t>
            </w:r>
          </w:p>
          <w:p w:rsidR="00502283" w:rsidRDefault="00502283" w:rsidP="00502283">
            <w:r>
              <w:t>• Develop webinar and tip sheets.</w:t>
            </w:r>
          </w:p>
        </w:tc>
      </w:tr>
      <w:tr w:rsidR="00502283" w:rsidTr="00044FED">
        <w:trPr>
          <w:trHeight w:val="280"/>
        </w:trPr>
        <w:tc>
          <w:tcPr>
            <w:tcW w:w="2988" w:type="dxa"/>
          </w:tcPr>
          <w:p w:rsidR="00502283" w:rsidRPr="00044FED" w:rsidRDefault="00502283">
            <w:pPr>
              <w:rPr>
                <w:b/>
                <w:sz w:val="22"/>
                <w:szCs w:val="22"/>
              </w:rPr>
            </w:pPr>
            <w:r w:rsidRPr="00044FED">
              <w:rPr>
                <w:b/>
                <w:sz w:val="22"/>
                <w:szCs w:val="22"/>
              </w:rPr>
              <w:t>Increase access to fiscal resources and partnerships</w:t>
            </w:r>
            <w:r w:rsidR="00044FED" w:rsidRPr="00044FED">
              <w:rPr>
                <w:b/>
                <w:sz w:val="22"/>
                <w:szCs w:val="22"/>
              </w:rPr>
              <w:t xml:space="preserve"> for nutrition, physical activity, food security, and wellness</w:t>
            </w:r>
          </w:p>
        </w:tc>
        <w:tc>
          <w:tcPr>
            <w:tcW w:w="6749" w:type="dxa"/>
          </w:tcPr>
          <w:p w:rsidR="00A4601C" w:rsidRDefault="00A4601C" w:rsidP="00A4601C">
            <w:r>
              <w:t>• Create awareness of</w:t>
            </w:r>
            <w:r w:rsidR="00E15BAE">
              <w:t>, and expand</w:t>
            </w:r>
            <w:r>
              <w:t xml:space="preserve"> opportunities for</w:t>
            </w:r>
            <w:r w:rsidR="00502283">
              <w:t xml:space="preserve"> expanded learning partnerships and leveraging of SNAP-ED/ NEOP opportunities. </w:t>
            </w:r>
            <w:r w:rsidR="00E15BAE">
              <w:t xml:space="preserve"> </w:t>
            </w:r>
          </w:p>
          <w:p w:rsidR="00502283" w:rsidRDefault="00A4601C" w:rsidP="00A4601C">
            <w:r>
              <w:t xml:space="preserve">• Investigate additional sources of funding including public (i.e. affordable care act), and philanthropic to advance Nutrition and PA. </w:t>
            </w:r>
            <w:r w:rsidR="00502283">
              <w:t xml:space="preserve"> </w:t>
            </w:r>
          </w:p>
        </w:tc>
      </w:tr>
      <w:tr w:rsidR="00502283" w:rsidTr="00044FED">
        <w:trPr>
          <w:trHeight w:val="260"/>
        </w:trPr>
        <w:tc>
          <w:tcPr>
            <w:tcW w:w="2988" w:type="dxa"/>
          </w:tcPr>
          <w:p w:rsidR="00502283" w:rsidRPr="005752F4" w:rsidRDefault="00E15BAE">
            <w:pPr>
              <w:rPr>
                <w:b/>
                <w:sz w:val="22"/>
                <w:szCs w:val="22"/>
              </w:rPr>
            </w:pPr>
            <w:r w:rsidRPr="005752F4">
              <w:rPr>
                <w:b/>
                <w:sz w:val="22"/>
                <w:szCs w:val="22"/>
              </w:rPr>
              <w:t>Promote youth leadership and engagement around Nutrition and Physical Activity</w:t>
            </w:r>
          </w:p>
        </w:tc>
        <w:tc>
          <w:tcPr>
            <w:tcW w:w="6749" w:type="dxa"/>
          </w:tcPr>
          <w:p w:rsidR="00502283" w:rsidRDefault="00E15BAE">
            <w:r>
              <w:t xml:space="preserve">• Provide resources and support to help programs empower youth to engage as leaders and decision-makers in their programs and communities. </w:t>
            </w:r>
          </w:p>
          <w:p w:rsidR="00E15BAE" w:rsidRDefault="00E15BAE">
            <w:r>
              <w:t xml:space="preserve">• Call for examples of promising practices in Committee calls.  </w:t>
            </w:r>
          </w:p>
          <w:p w:rsidR="005752F4" w:rsidRDefault="005752F4"/>
        </w:tc>
      </w:tr>
      <w:tr w:rsidR="00502283" w:rsidTr="00044FED">
        <w:trPr>
          <w:trHeight w:val="280"/>
        </w:trPr>
        <w:tc>
          <w:tcPr>
            <w:tcW w:w="2988" w:type="dxa"/>
          </w:tcPr>
          <w:p w:rsidR="005752F4" w:rsidRDefault="005752F4">
            <w:pPr>
              <w:rPr>
                <w:b/>
              </w:rPr>
            </w:pPr>
          </w:p>
          <w:p w:rsidR="00502283" w:rsidRPr="005752F4" w:rsidRDefault="00E15BAE">
            <w:pPr>
              <w:rPr>
                <w:b/>
              </w:rPr>
            </w:pPr>
            <w:bookmarkStart w:id="0" w:name="_GoBack"/>
            <w:bookmarkEnd w:id="0"/>
            <w:r w:rsidRPr="005752F4">
              <w:rPr>
                <w:b/>
              </w:rPr>
              <w:lastRenderedPageBreak/>
              <w:t>Increase clarity and cohesiveness of the resource and partnership environment.</w:t>
            </w:r>
          </w:p>
        </w:tc>
        <w:tc>
          <w:tcPr>
            <w:tcW w:w="6749" w:type="dxa"/>
          </w:tcPr>
          <w:p w:rsidR="00502283" w:rsidRDefault="005752F4">
            <w:r>
              <w:lastRenderedPageBreak/>
              <w:t xml:space="preserve">• Gather information on a variety of resources to advance </w:t>
            </w:r>
            <w:r>
              <w:lastRenderedPageBreak/>
              <w:t>nutrition and physical activity.</w:t>
            </w:r>
          </w:p>
          <w:p w:rsidR="005752F4" w:rsidRDefault="005752F4">
            <w:r>
              <w:t>• Gather information on a variety of initiatives related to Nutrition, physical activity, and food security.</w:t>
            </w:r>
          </w:p>
          <w:p w:rsidR="005752F4" w:rsidRDefault="005752F4">
            <w:r>
              <w:t xml:space="preserve">• Create resources including but not limited to the CAN website that create a cohesive picture for the field about a variety of initiatives. </w:t>
            </w:r>
          </w:p>
        </w:tc>
      </w:tr>
      <w:tr w:rsidR="00502283" w:rsidTr="00044FED">
        <w:trPr>
          <w:trHeight w:val="260"/>
        </w:trPr>
        <w:tc>
          <w:tcPr>
            <w:tcW w:w="2988" w:type="dxa"/>
          </w:tcPr>
          <w:p w:rsidR="00502283" w:rsidRPr="005752F4" w:rsidRDefault="00E15BAE" w:rsidP="005752F4">
            <w:pPr>
              <w:rPr>
                <w:b/>
                <w:sz w:val="22"/>
                <w:szCs w:val="22"/>
              </w:rPr>
            </w:pPr>
            <w:r w:rsidRPr="005752F4">
              <w:rPr>
                <w:b/>
                <w:sz w:val="22"/>
                <w:szCs w:val="22"/>
              </w:rPr>
              <w:lastRenderedPageBreak/>
              <w:t>Provide information about federal, state, and local polic</w:t>
            </w:r>
            <w:r w:rsidR="005752F4" w:rsidRPr="005752F4">
              <w:rPr>
                <w:b/>
                <w:sz w:val="22"/>
                <w:szCs w:val="22"/>
              </w:rPr>
              <w:t>ies related to Nutrition, Physical Activity, and Food Security</w:t>
            </w:r>
          </w:p>
        </w:tc>
        <w:tc>
          <w:tcPr>
            <w:tcW w:w="6749" w:type="dxa"/>
          </w:tcPr>
          <w:p w:rsidR="00502283" w:rsidRDefault="005752F4">
            <w:r>
              <w:t xml:space="preserve">• Policy discussions as a standing meeting item.  </w:t>
            </w:r>
          </w:p>
        </w:tc>
      </w:tr>
      <w:tr w:rsidR="00502283" w:rsidTr="00044FED">
        <w:trPr>
          <w:trHeight w:val="300"/>
        </w:trPr>
        <w:tc>
          <w:tcPr>
            <w:tcW w:w="2988" w:type="dxa"/>
          </w:tcPr>
          <w:p w:rsidR="00502283" w:rsidRPr="005752F4" w:rsidRDefault="005752F4">
            <w:pPr>
              <w:rPr>
                <w:b/>
              </w:rPr>
            </w:pPr>
            <w:r w:rsidRPr="005752F4">
              <w:rPr>
                <w:b/>
              </w:rPr>
              <w:t>Build and increase relevant committee membership</w:t>
            </w:r>
          </w:p>
        </w:tc>
        <w:tc>
          <w:tcPr>
            <w:tcW w:w="6749" w:type="dxa"/>
          </w:tcPr>
          <w:p w:rsidR="00502283" w:rsidRDefault="005752F4">
            <w:r>
              <w:t xml:space="preserve">• Create an outreach committee charged with identifying and conducting outreach to specific programs and providers.  </w:t>
            </w:r>
          </w:p>
        </w:tc>
      </w:tr>
    </w:tbl>
    <w:p w:rsidR="00D0020E" w:rsidRPr="00D0020E" w:rsidRDefault="00D0020E"/>
    <w:sectPr w:rsidR="00D0020E" w:rsidRPr="00D0020E" w:rsidSect="005752F4">
      <w:headerReference w:type="default" r:id="rId8"/>
      <w:pgSz w:w="12240" w:h="15840"/>
      <w:pgMar w:top="72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AE" w:rsidRDefault="00E15BAE" w:rsidP="00D0020E">
      <w:r>
        <w:separator/>
      </w:r>
    </w:p>
  </w:endnote>
  <w:endnote w:type="continuationSeparator" w:id="0">
    <w:p w:rsidR="00E15BAE" w:rsidRDefault="00E15BAE" w:rsidP="00D0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AE" w:rsidRDefault="00E15BAE" w:rsidP="00D0020E">
      <w:r>
        <w:separator/>
      </w:r>
    </w:p>
  </w:footnote>
  <w:footnote w:type="continuationSeparator" w:id="0">
    <w:p w:rsidR="00E15BAE" w:rsidRDefault="00E15BAE" w:rsidP="00D002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AE" w:rsidRDefault="00E15BAE">
    <w:pPr>
      <w:pStyle w:val="Header"/>
    </w:pPr>
    <w:r>
      <w:rPr>
        <w:noProof/>
        <w:lang w:eastAsia="en-US"/>
      </w:rPr>
      <w:drawing>
        <wp:inline distT="0" distB="0" distL="0" distR="0" wp14:anchorId="1A61AA8E" wp14:editId="2FD8C00F">
          <wp:extent cx="1777365" cy="1228796"/>
          <wp:effectExtent l="0" t="0" r="635" b="0"/>
          <wp:docPr id="1" name="Picture 1" descr="Jeff's HD:Users:jeff:Library:Mail:V2:IMAP-jefdavis@mail.ucdavis.edu:INBOX.mbox:01C8721B-3841-4E11-A5CC-5CD7573CDA6F:Data:2:3:4:Attachments:432474:2.2:C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ff's HD:Users:jeff:Library:Mail:V2:IMAP-jefdavis@mail.ucdavis.edu:INBOX.mbox:01C8721B-3841-4E11-A5CC-5CD7573CDA6F:Data:2:3:4:Attachments:432474:2.2:CA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365" cy="12287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137B4"/>
    <w:multiLevelType w:val="hybridMultilevel"/>
    <w:tmpl w:val="4C94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0E"/>
    <w:rsid w:val="00044FED"/>
    <w:rsid w:val="00502283"/>
    <w:rsid w:val="005752F4"/>
    <w:rsid w:val="008C0119"/>
    <w:rsid w:val="00A4601C"/>
    <w:rsid w:val="00C5349B"/>
    <w:rsid w:val="00D0020E"/>
    <w:rsid w:val="00E15B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8C5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20E"/>
    <w:pPr>
      <w:tabs>
        <w:tab w:val="center" w:pos="4320"/>
        <w:tab w:val="right" w:pos="8640"/>
      </w:tabs>
    </w:pPr>
  </w:style>
  <w:style w:type="character" w:customStyle="1" w:styleId="HeaderChar">
    <w:name w:val="Header Char"/>
    <w:basedOn w:val="DefaultParagraphFont"/>
    <w:link w:val="Header"/>
    <w:uiPriority w:val="99"/>
    <w:rsid w:val="00D0020E"/>
    <w:rPr>
      <w:sz w:val="24"/>
      <w:szCs w:val="24"/>
    </w:rPr>
  </w:style>
  <w:style w:type="paragraph" w:styleId="Footer">
    <w:name w:val="footer"/>
    <w:basedOn w:val="Normal"/>
    <w:link w:val="FooterChar"/>
    <w:uiPriority w:val="99"/>
    <w:unhideWhenUsed/>
    <w:rsid w:val="00D0020E"/>
    <w:pPr>
      <w:tabs>
        <w:tab w:val="center" w:pos="4320"/>
        <w:tab w:val="right" w:pos="8640"/>
      </w:tabs>
    </w:pPr>
  </w:style>
  <w:style w:type="character" w:customStyle="1" w:styleId="FooterChar">
    <w:name w:val="Footer Char"/>
    <w:basedOn w:val="DefaultParagraphFont"/>
    <w:link w:val="Footer"/>
    <w:uiPriority w:val="99"/>
    <w:rsid w:val="00D0020E"/>
    <w:rPr>
      <w:sz w:val="24"/>
      <w:szCs w:val="24"/>
    </w:rPr>
  </w:style>
  <w:style w:type="paragraph" w:styleId="BalloonText">
    <w:name w:val="Balloon Text"/>
    <w:basedOn w:val="Normal"/>
    <w:link w:val="BalloonTextChar"/>
    <w:uiPriority w:val="99"/>
    <w:semiHidden/>
    <w:unhideWhenUsed/>
    <w:rsid w:val="00D002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020E"/>
    <w:rPr>
      <w:rFonts w:ascii="Lucida Grande" w:hAnsi="Lucida Grande" w:cs="Lucida Grande"/>
      <w:sz w:val="18"/>
      <w:szCs w:val="18"/>
    </w:rPr>
  </w:style>
  <w:style w:type="table" w:styleId="TableGrid">
    <w:name w:val="Table Grid"/>
    <w:basedOn w:val="TableNormal"/>
    <w:uiPriority w:val="59"/>
    <w:rsid w:val="00D00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02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20E"/>
    <w:pPr>
      <w:tabs>
        <w:tab w:val="center" w:pos="4320"/>
        <w:tab w:val="right" w:pos="8640"/>
      </w:tabs>
    </w:pPr>
  </w:style>
  <w:style w:type="character" w:customStyle="1" w:styleId="HeaderChar">
    <w:name w:val="Header Char"/>
    <w:basedOn w:val="DefaultParagraphFont"/>
    <w:link w:val="Header"/>
    <w:uiPriority w:val="99"/>
    <w:rsid w:val="00D0020E"/>
    <w:rPr>
      <w:sz w:val="24"/>
      <w:szCs w:val="24"/>
    </w:rPr>
  </w:style>
  <w:style w:type="paragraph" w:styleId="Footer">
    <w:name w:val="footer"/>
    <w:basedOn w:val="Normal"/>
    <w:link w:val="FooterChar"/>
    <w:uiPriority w:val="99"/>
    <w:unhideWhenUsed/>
    <w:rsid w:val="00D0020E"/>
    <w:pPr>
      <w:tabs>
        <w:tab w:val="center" w:pos="4320"/>
        <w:tab w:val="right" w:pos="8640"/>
      </w:tabs>
    </w:pPr>
  </w:style>
  <w:style w:type="character" w:customStyle="1" w:styleId="FooterChar">
    <w:name w:val="Footer Char"/>
    <w:basedOn w:val="DefaultParagraphFont"/>
    <w:link w:val="Footer"/>
    <w:uiPriority w:val="99"/>
    <w:rsid w:val="00D0020E"/>
    <w:rPr>
      <w:sz w:val="24"/>
      <w:szCs w:val="24"/>
    </w:rPr>
  </w:style>
  <w:style w:type="paragraph" w:styleId="BalloonText">
    <w:name w:val="Balloon Text"/>
    <w:basedOn w:val="Normal"/>
    <w:link w:val="BalloonTextChar"/>
    <w:uiPriority w:val="99"/>
    <w:semiHidden/>
    <w:unhideWhenUsed/>
    <w:rsid w:val="00D002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020E"/>
    <w:rPr>
      <w:rFonts w:ascii="Lucida Grande" w:hAnsi="Lucida Grande" w:cs="Lucida Grande"/>
      <w:sz w:val="18"/>
      <w:szCs w:val="18"/>
    </w:rPr>
  </w:style>
  <w:style w:type="table" w:styleId="TableGrid">
    <w:name w:val="Table Grid"/>
    <w:basedOn w:val="TableNormal"/>
    <w:uiPriority w:val="59"/>
    <w:rsid w:val="00D00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0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625">
      <w:bodyDiv w:val="1"/>
      <w:marLeft w:val="0"/>
      <w:marRight w:val="0"/>
      <w:marTop w:val="0"/>
      <w:marBottom w:val="0"/>
      <w:divBdr>
        <w:top w:val="none" w:sz="0" w:space="0" w:color="auto"/>
        <w:left w:val="none" w:sz="0" w:space="0" w:color="auto"/>
        <w:bottom w:val="none" w:sz="0" w:space="0" w:color="auto"/>
        <w:right w:val="none" w:sz="0" w:space="0" w:color="auto"/>
      </w:divBdr>
    </w:div>
    <w:div w:id="249235745">
      <w:bodyDiv w:val="1"/>
      <w:marLeft w:val="0"/>
      <w:marRight w:val="0"/>
      <w:marTop w:val="0"/>
      <w:marBottom w:val="0"/>
      <w:divBdr>
        <w:top w:val="none" w:sz="0" w:space="0" w:color="auto"/>
        <w:left w:val="none" w:sz="0" w:space="0" w:color="auto"/>
        <w:bottom w:val="none" w:sz="0" w:space="0" w:color="auto"/>
        <w:right w:val="none" w:sz="0" w:space="0" w:color="auto"/>
      </w:divBdr>
    </w:div>
    <w:div w:id="907495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440</Words>
  <Characters>2511</Characters>
  <Application>Microsoft Macintosh Word</Application>
  <DocSecurity>0</DocSecurity>
  <Lines>20</Lines>
  <Paragraphs>5</Paragraphs>
  <ScaleCrop>false</ScaleCrop>
  <Company>UC Davis</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Education</dc:creator>
  <cp:keywords/>
  <dc:description/>
  <cp:lastModifiedBy>School of Education</cp:lastModifiedBy>
  <cp:revision>1</cp:revision>
  <dcterms:created xsi:type="dcterms:W3CDTF">2014-09-12T20:15:00Z</dcterms:created>
  <dcterms:modified xsi:type="dcterms:W3CDTF">2014-09-12T22:40:00Z</dcterms:modified>
</cp:coreProperties>
</file>