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A1239" w14:textId="3E2E07E8" w:rsidR="00617F08" w:rsidRDefault="004E2099" w:rsidP="00617F08">
      <w:r>
        <w:rPr>
          <w:rFonts w:ascii="Calibri" w:hAnsi="Calibri" w:cs="Times New Roman"/>
          <w:noProof/>
          <w:color w:val="000000"/>
        </w:rPr>
        <w:drawing>
          <wp:anchor distT="0" distB="0" distL="114300" distR="114300" simplePos="0" relativeHeight="251659264" behindDoc="1" locked="0" layoutInCell="1" allowOverlap="1" wp14:anchorId="28C49D04" wp14:editId="010B904A">
            <wp:simplePos x="0" y="0"/>
            <wp:positionH relativeFrom="column">
              <wp:posOffset>2984500</wp:posOffset>
            </wp:positionH>
            <wp:positionV relativeFrom="paragraph">
              <wp:posOffset>-116840</wp:posOffset>
            </wp:positionV>
            <wp:extent cx="2514600" cy="1599565"/>
            <wp:effectExtent l="0" t="0" r="0" b="635"/>
            <wp:wrapNone/>
            <wp:docPr id="8" name="Picture 8" descr="Jeff's HD:Users:jeff:Desktop:can logo high res:CANlogo(wTAG).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s HD:Users:jeff:Desktop:can logo high res:CANlogo(wTAG).p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59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9D2FA" w14:textId="63147498" w:rsidR="00617F08" w:rsidRDefault="00617F08" w:rsidP="00617F08"/>
    <w:p w14:paraId="3DBF7220" w14:textId="49E59349" w:rsidR="00617F08" w:rsidRDefault="00617F08" w:rsidP="00617F08"/>
    <w:p w14:paraId="7489FD07" w14:textId="075028AC" w:rsidR="00617F08" w:rsidRDefault="004E2099" w:rsidP="00617F08">
      <w:pPr>
        <w:jc w:val="center"/>
      </w:pPr>
      <w:r>
        <w:rPr>
          <w:rFonts w:ascii="Calibri" w:hAnsi="Calibri" w:cs="Times New Roman"/>
          <w:noProof/>
          <w:color w:val="000000"/>
        </w:rPr>
        <mc:AlternateContent>
          <mc:Choice Requires="wps">
            <w:drawing>
              <wp:anchor distT="0" distB="0" distL="114300" distR="114300" simplePos="0" relativeHeight="251660288" behindDoc="0" locked="0" layoutInCell="1" allowOverlap="1" wp14:anchorId="0A9CE3C0" wp14:editId="31E034CD">
                <wp:simplePos x="0" y="0"/>
                <wp:positionH relativeFrom="column">
                  <wp:posOffset>12700</wp:posOffset>
                </wp:positionH>
                <wp:positionV relativeFrom="paragraph">
                  <wp:posOffset>20955</wp:posOffset>
                </wp:positionV>
                <wp:extent cx="2487295" cy="800100"/>
                <wp:effectExtent l="0" t="0" r="27305" b="38100"/>
                <wp:wrapSquare wrapText="bothSides"/>
                <wp:docPr id="9" name="Text Box 9"/>
                <wp:cNvGraphicFramePr/>
                <a:graphic xmlns:a="http://schemas.openxmlformats.org/drawingml/2006/main">
                  <a:graphicData uri="http://schemas.microsoft.com/office/word/2010/wordprocessingShape">
                    <wps:wsp>
                      <wps:cNvSpPr txBox="1"/>
                      <wps:spPr>
                        <a:xfrm>
                          <a:off x="0" y="0"/>
                          <a:ext cx="2487295"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FEDECC" w14:textId="77777777" w:rsidR="00AF3275" w:rsidRDefault="00AF3275" w:rsidP="00617F08">
                            <w:r>
                              <w:t>Name of Action Team:</w:t>
                            </w:r>
                          </w:p>
                          <w:p w14:paraId="5EB61A0A" w14:textId="77777777" w:rsidR="00AF3275" w:rsidRPr="005A6DD0" w:rsidRDefault="00AF3275" w:rsidP="00617F08">
                            <w:pPr>
                              <w:rPr>
                                <w:b/>
                                <w:sz w:val="28"/>
                                <w:szCs w:val="28"/>
                              </w:rPr>
                            </w:pPr>
                            <w:r w:rsidRPr="005A6DD0">
                              <w:rPr>
                                <w:b/>
                                <w:sz w:val="28"/>
                                <w:szCs w:val="28"/>
                              </w:rPr>
                              <w:t>Nutrition and Physical Activity Action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CE3C0" id="_x0000_t202" coordsize="21600,21600" o:spt="202" path="m0,0l0,21600,21600,21600,21600,0xe">
                <v:stroke joinstyle="miter"/>
                <v:path gradientshapeok="t" o:connecttype="rect"/>
              </v:shapetype>
              <v:shape id="Text Box 9" o:spid="_x0000_s1026" type="#_x0000_t202" style="position:absolute;left:0;text-align:left;margin-left:1pt;margin-top:1.65pt;width:195.8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" filled="f" strokecolor="black [3213]">
                <v:textbox>
                  <w:txbxContent>
                    <w:p w14:paraId="3AFEDECC" w14:textId="77777777" w:rsidR="00617F08" w:rsidRDefault="00617F08" w:rsidP="00617F08">
                      <w:r>
                        <w:t>Name of Action Team:</w:t>
                      </w:r>
                    </w:p>
                    <w:p w14:paraId="5EB61A0A" w14:textId="77777777" w:rsidR="00617F08" w:rsidRPr="005A6DD0" w:rsidRDefault="00617F08" w:rsidP="00617F08">
                      <w:pPr>
                        <w:rPr>
                          <w:b/>
                          <w:sz w:val="28"/>
                          <w:szCs w:val="28"/>
                        </w:rPr>
                      </w:pPr>
                      <w:r w:rsidRPr="005A6DD0">
                        <w:rPr>
                          <w:b/>
                          <w:sz w:val="28"/>
                          <w:szCs w:val="28"/>
                        </w:rPr>
                        <w:t>Nutrition and Physical Activity Action Team</w:t>
                      </w:r>
                    </w:p>
                  </w:txbxContent>
                </v:textbox>
                <w10:wrap type="square"/>
              </v:shape>
            </w:pict>
          </mc:Fallback>
        </mc:AlternateContent>
      </w:r>
    </w:p>
    <w:p w14:paraId="6CBCF9B7" w14:textId="77777777" w:rsidR="005A6DD0" w:rsidRPr="005A6DD0" w:rsidRDefault="005A6DD0" w:rsidP="005A6DD0">
      <w:pPr>
        <w:widowControl w:val="0"/>
        <w:autoSpaceDE w:val="0"/>
        <w:autoSpaceDN w:val="0"/>
        <w:adjustRightInd w:val="0"/>
        <w:rPr>
          <w:rFonts w:cs="Times New Roman"/>
          <w:sz w:val="28"/>
          <w:szCs w:val="28"/>
        </w:rPr>
      </w:pPr>
    </w:p>
    <w:p w14:paraId="28C4CB35" w14:textId="77777777" w:rsidR="005A6DD0" w:rsidRDefault="005A6DD0"/>
    <w:p w14:paraId="41E4BB8C" w14:textId="77777777" w:rsidR="004E2099" w:rsidRDefault="004E2099"/>
    <w:p w14:paraId="27A1CB46" w14:textId="77777777" w:rsidR="004E2099" w:rsidRDefault="004E2099"/>
    <w:p w14:paraId="5ECFA6E3" w14:textId="77777777" w:rsidR="003B5F1E" w:rsidRDefault="003B5F1E"/>
    <w:p w14:paraId="5F4237D7" w14:textId="77777777" w:rsidR="003B5F1E" w:rsidRDefault="003B5F1E"/>
    <w:tbl>
      <w:tblPr>
        <w:tblStyle w:val="TableGrid"/>
        <w:tblW w:w="0" w:type="auto"/>
        <w:tblLook w:val="04A0" w:firstRow="1" w:lastRow="0" w:firstColumn="1" w:lastColumn="0" w:noHBand="0" w:noVBand="1"/>
      </w:tblPr>
      <w:tblGrid>
        <w:gridCol w:w="6475"/>
        <w:gridCol w:w="6475"/>
      </w:tblGrid>
      <w:tr w:rsidR="00617F08" w14:paraId="56F1CCFC" w14:textId="77777777" w:rsidTr="004E2099">
        <w:tc>
          <w:tcPr>
            <w:tcW w:w="6475" w:type="dxa"/>
          </w:tcPr>
          <w:p w14:paraId="20B46F1F" w14:textId="77777777" w:rsidR="00617F08" w:rsidRPr="00E14356" w:rsidRDefault="00617F08">
            <w:pPr>
              <w:rPr>
                <w:b/>
                <w:u w:val="single"/>
              </w:rPr>
            </w:pPr>
            <w:r w:rsidRPr="00E14356">
              <w:rPr>
                <w:b/>
                <w:u w:val="single"/>
              </w:rPr>
              <w:t>Goal of NuPA Action Team:</w:t>
            </w:r>
          </w:p>
          <w:p w14:paraId="4517BAF3" w14:textId="5B0EDE1E" w:rsidR="00617F08" w:rsidRPr="000B4190" w:rsidRDefault="00617F08" w:rsidP="00617F08">
            <w:r w:rsidRPr="000B4190">
              <w:t>The Nutrition and Physical Activity (NuPA) Action Team provides a forum for individuals and organizations that are committed to expanding</w:t>
            </w:r>
            <w:r w:rsidR="000C47FB">
              <w:t xml:space="preserve"> </w:t>
            </w:r>
            <w:r w:rsidRPr="000B4190">
              <w:t xml:space="preserve">nutrition and physical activity programs, policies and services in </w:t>
            </w:r>
            <w:r w:rsidR="000C47FB">
              <w:t>expanded learning</w:t>
            </w:r>
            <w:r w:rsidRPr="000B4190">
              <w:t xml:space="preserve"> programs.</w:t>
            </w:r>
          </w:p>
          <w:p w14:paraId="3A6BC914" w14:textId="77777777" w:rsidR="00617F08" w:rsidRDefault="00617F08"/>
        </w:tc>
        <w:tc>
          <w:tcPr>
            <w:tcW w:w="6475" w:type="dxa"/>
          </w:tcPr>
          <w:p w14:paraId="540DE512" w14:textId="77777777" w:rsidR="00617F08" w:rsidRPr="00E14356" w:rsidRDefault="00617F08" w:rsidP="00617F08">
            <w:pPr>
              <w:rPr>
                <w:b/>
                <w:u w:val="single"/>
              </w:rPr>
            </w:pPr>
            <w:r w:rsidRPr="00E14356">
              <w:rPr>
                <w:b/>
                <w:u w:val="single"/>
              </w:rPr>
              <w:t xml:space="preserve">CAN’s Mission: </w:t>
            </w:r>
          </w:p>
          <w:p w14:paraId="3419D774" w14:textId="77777777" w:rsidR="00617F08" w:rsidRPr="00FB46E1" w:rsidRDefault="00617F08" w:rsidP="00617F08">
            <w:r w:rsidRPr="00FB46E1">
              <w:t>To provide professionals, advocates, and community members the tools and resources necessary to build high-quality out-of-school time programs in California.</w:t>
            </w:r>
          </w:p>
          <w:p w14:paraId="5E6B56E7" w14:textId="77777777" w:rsidR="00617F08" w:rsidRDefault="00617F08"/>
        </w:tc>
      </w:tr>
      <w:tr w:rsidR="003A3FCA" w14:paraId="716EFAE3" w14:textId="77777777" w:rsidTr="00C202ED">
        <w:tc>
          <w:tcPr>
            <w:tcW w:w="12950" w:type="dxa"/>
            <w:gridSpan w:val="2"/>
            <w:shd w:val="clear" w:color="auto" w:fill="FBE4D5" w:themeFill="accent2" w:themeFillTint="33"/>
          </w:tcPr>
          <w:p w14:paraId="6340DAA7" w14:textId="77777777" w:rsidR="003A3FCA" w:rsidRDefault="003A3FCA" w:rsidP="00617F08">
            <w:pPr>
              <w:jc w:val="center"/>
              <w:rPr>
                <w:b/>
              </w:rPr>
            </w:pPr>
            <w:r>
              <w:rPr>
                <w:b/>
              </w:rPr>
              <w:t>Objective #1</w:t>
            </w:r>
          </w:p>
          <w:p w14:paraId="7CBBB751" w14:textId="77777777" w:rsidR="003A3FCA" w:rsidRDefault="003A3FCA" w:rsidP="00DE62D1">
            <w:pPr>
              <w:jc w:val="center"/>
              <w:rPr>
                <w:b/>
              </w:rPr>
            </w:pPr>
            <w:r>
              <w:rPr>
                <w:b/>
              </w:rPr>
              <w:t xml:space="preserve">By January 2018, the NuPA action team will have </w:t>
            </w:r>
          </w:p>
          <w:p w14:paraId="3C891D26" w14:textId="77777777" w:rsidR="003A3FCA" w:rsidRDefault="003A3FCA" w:rsidP="00DE62D1">
            <w:pPr>
              <w:jc w:val="center"/>
              <w:rPr>
                <w:b/>
              </w:rPr>
            </w:pPr>
            <w:r>
              <w:rPr>
                <w:b/>
              </w:rPr>
              <w:t>disseminated the first quarterly Newsletter and webinar of 2018.</w:t>
            </w:r>
          </w:p>
          <w:p w14:paraId="7A92EBDA" w14:textId="48749BC8" w:rsidR="003A3FCA" w:rsidRDefault="003A3FCA" w:rsidP="00DE62D1">
            <w:pPr>
              <w:jc w:val="center"/>
            </w:pPr>
          </w:p>
        </w:tc>
      </w:tr>
      <w:tr w:rsidR="00617F08" w14:paraId="7CD8257D" w14:textId="77777777" w:rsidTr="004E2099">
        <w:tc>
          <w:tcPr>
            <w:tcW w:w="6475" w:type="dxa"/>
            <w:shd w:val="clear" w:color="auto" w:fill="E6E6E6"/>
          </w:tcPr>
          <w:p w14:paraId="499BB77F" w14:textId="77777777" w:rsidR="00617F08" w:rsidRPr="00861FFB" w:rsidRDefault="00617F08" w:rsidP="00617F08">
            <w:pPr>
              <w:jc w:val="center"/>
              <w:rPr>
                <w:b/>
              </w:rPr>
            </w:pPr>
            <w:r w:rsidRPr="00861FFB">
              <w:rPr>
                <w:b/>
              </w:rPr>
              <w:t>Activities include, but are not limited to:</w:t>
            </w:r>
          </w:p>
        </w:tc>
        <w:tc>
          <w:tcPr>
            <w:tcW w:w="6475" w:type="dxa"/>
            <w:shd w:val="clear" w:color="auto" w:fill="E6E6E6"/>
          </w:tcPr>
          <w:p w14:paraId="75DB65AA" w14:textId="0FF4059B" w:rsidR="00617F08" w:rsidRPr="00861FFB" w:rsidRDefault="00C80D4D" w:rsidP="00617F08">
            <w:pPr>
              <w:jc w:val="center"/>
              <w:rPr>
                <w:b/>
              </w:rPr>
            </w:pPr>
            <w:r>
              <w:rPr>
                <w:b/>
              </w:rPr>
              <w:t>Notes:</w:t>
            </w:r>
          </w:p>
        </w:tc>
      </w:tr>
      <w:tr w:rsidR="00617F08" w14:paraId="45A14D84" w14:textId="77777777" w:rsidTr="004E2099">
        <w:trPr>
          <w:trHeight w:val="332"/>
        </w:trPr>
        <w:tc>
          <w:tcPr>
            <w:tcW w:w="6475" w:type="dxa"/>
          </w:tcPr>
          <w:p w14:paraId="1FD74014" w14:textId="31EFB76C" w:rsidR="00E14356" w:rsidRDefault="00E14356" w:rsidP="00E14356">
            <w:pPr>
              <w:pStyle w:val="ListParagraph"/>
              <w:numPr>
                <w:ilvl w:val="0"/>
                <w:numId w:val="2"/>
              </w:numPr>
            </w:pPr>
            <w:r>
              <w:t>Research potential webinar candidates to be showcased on the quarterly newsletter</w:t>
            </w:r>
          </w:p>
          <w:p w14:paraId="135D7A2A" w14:textId="4721459F" w:rsidR="00E14356" w:rsidRDefault="00E14356" w:rsidP="00E14356">
            <w:pPr>
              <w:pStyle w:val="ListParagraph"/>
              <w:numPr>
                <w:ilvl w:val="0"/>
                <w:numId w:val="2"/>
              </w:numPr>
            </w:pPr>
            <w:r>
              <w:t>Create webinar rubric and guidelines for presentation creation</w:t>
            </w:r>
          </w:p>
          <w:p w14:paraId="04851742" w14:textId="114FC5E2" w:rsidR="005A6DD0" w:rsidRDefault="00E14356" w:rsidP="00E14356">
            <w:pPr>
              <w:pStyle w:val="ListParagraph"/>
              <w:numPr>
                <w:ilvl w:val="0"/>
                <w:numId w:val="2"/>
              </w:numPr>
            </w:pPr>
            <w:r>
              <w:t>Host and record webinar sessions</w:t>
            </w:r>
          </w:p>
        </w:tc>
        <w:tc>
          <w:tcPr>
            <w:tcW w:w="6475" w:type="dxa"/>
          </w:tcPr>
          <w:p w14:paraId="5ED32720" w14:textId="77777777" w:rsidR="00E14356" w:rsidRDefault="00E14356" w:rsidP="00E14356">
            <w:pPr>
              <w:pStyle w:val="ListParagraph"/>
              <w:numPr>
                <w:ilvl w:val="0"/>
                <w:numId w:val="2"/>
              </w:numPr>
            </w:pPr>
            <w:r>
              <w:t xml:space="preserve">Quarterly newsletter will be released in January, April, July, and October </w:t>
            </w:r>
          </w:p>
          <w:p w14:paraId="00D9FBE6" w14:textId="4A081961" w:rsidR="00617F08" w:rsidRDefault="00E14356" w:rsidP="00E14356">
            <w:pPr>
              <w:pStyle w:val="ListParagraph"/>
              <w:numPr>
                <w:ilvl w:val="0"/>
                <w:numId w:val="2"/>
              </w:numPr>
            </w:pPr>
            <w:r>
              <w:t>This workgroup will operate on an ongoing basis and meet as needed, and decided on by the committee</w:t>
            </w:r>
          </w:p>
        </w:tc>
      </w:tr>
      <w:tr w:rsidR="003A3FCA" w14:paraId="3031B81C" w14:textId="77777777" w:rsidTr="00680FB4">
        <w:tc>
          <w:tcPr>
            <w:tcW w:w="12950" w:type="dxa"/>
            <w:gridSpan w:val="2"/>
            <w:shd w:val="clear" w:color="auto" w:fill="FBE4D5" w:themeFill="accent2" w:themeFillTint="33"/>
          </w:tcPr>
          <w:p w14:paraId="27567D0C" w14:textId="77777777" w:rsidR="003A3FCA" w:rsidRDefault="003A3FCA" w:rsidP="00861FFB">
            <w:pPr>
              <w:jc w:val="center"/>
              <w:rPr>
                <w:b/>
              </w:rPr>
            </w:pPr>
            <w:r>
              <w:rPr>
                <w:b/>
              </w:rPr>
              <w:t>Objective #2</w:t>
            </w:r>
          </w:p>
          <w:p w14:paraId="1AA69B70" w14:textId="77777777" w:rsidR="003A3FCA" w:rsidRDefault="003A3FCA" w:rsidP="00CF5AD8">
            <w:pPr>
              <w:jc w:val="center"/>
              <w:rPr>
                <w:b/>
              </w:rPr>
            </w:pPr>
            <w:r>
              <w:rPr>
                <w:b/>
              </w:rPr>
              <w:t xml:space="preserve">By March 2018, the action team will have created and submitted </w:t>
            </w:r>
          </w:p>
          <w:p w14:paraId="68363301" w14:textId="77777777" w:rsidR="003A3FCA" w:rsidRDefault="003A3FCA" w:rsidP="00CF5AD8">
            <w:pPr>
              <w:jc w:val="center"/>
              <w:rPr>
                <w:b/>
              </w:rPr>
            </w:pPr>
            <w:r>
              <w:rPr>
                <w:b/>
              </w:rPr>
              <w:t>an issue brief around NuPA for the State of the State of Expanded Learning in California.</w:t>
            </w:r>
          </w:p>
          <w:p w14:paraId="05051CE2" w14:textId="04A5D056" w:rsidR="003A3FCA" w:rsidRDefault="003A3FCA" w:rsidP="00CF5AD8">
            <w:pPr>
              <w:jc w:val="center"/>
            </w:pPr>
          </w:p>
        </w:tc>
      </w:tr>
      <w:tr w:rsidR="005A6DD0" w14:paraId="637AB0B0" w14:textId="77777777" w:rsidTr="004E2099">
        <w:tc>
          <w:tcPr>
            <w:tcW w:w="6475" w:type="dxa"/>
            <w:shd w:val="clear" w:color="auto" w:fill="E6E6E6"/>
          </w:tcPr>
          <w:p w14:paraId="7E70D1E0" w14:textId="3A6ECCD1" w:rsidR="005A6DD0" w:rsidRPr="00861FFB" w:rsidRDefault="00861FFB" w:rsidP="00861FFB">
            <w:pPr>
              <w:jc w:val="center"/>
              <w:rPr>
                <w:b/>
              </w:rPr>
            </w:pPr>
            <w:r w:rsidRPr="00861FFB">
              <w:rPr>
                <w:b/>
              </w:rPr>
              <w:t>Activities include, but are not limited to:</w:t>
            </w:r>
          </w:p>
        </w:tc>
        <w:tc>
          <w:tcPr>
            <w:tcW w:w="6475" w:type="dxa"/>
            <w:shd w:val="clear" w:color="auto" w:fill="E6E6E6"/>
          </w:tcPr>
          <w:p w14:paraId="4930780F" w14:textId="37C87E82" w:rsidR="005A6DD0" w:rsidRPr="00861FFB" w:rsidRDefault="00C80D4D" w:rsidP="00617F08">
            <w:pPr>
              <w:jc w:val="center"/>
              <w:rPr>
                <w:b/>
              </w:rPr>
            </w:pPr>
            <w:r>
              <w:rPr>
                <w:b/>
              </w:rPr>
              <w:t>Notes:</w:t>
            </w:r>
          </w:p>
        </w:tc>
      </w:tr>
      <w:tr w:rsidR="00861FFB" w14:paraId="47066AAA" w14:textId="77777777" w:rsidTr="004E2099">
        <w:trPr>
          <w:trHeight w:val="1214"/>
        </w:trPr>
        <w:tc>
          <w:tcPr>
            <w:tcW w:w="6475" w:type="dxa"/>
          </w:tcPr>
          <w:p w14:paraId="37D297B1" w14:textId="4BFFBF05" w:rsidR="004E2099" w:rsidRDefault="00D2529D" w:rsidP="003A3FCA">
            <w:pPr>
              <w:pStyle w:val="ListParagraph"/>
              <w:numPr>
                <w:ilvl w:val="0"/>
                <w:numId w:val="3"/>
              </w:numPr>
            </w:pPr>
            <w:r>
              <w:t>Me</w:t>
            </w:r>
            <w:r w:rsidR="001C62E4">
              <w:t>mbership to this workgroup is through</w:t>
            </w:r>
            <w:r>
              <w:t xml:space="preserve"> recruitment only. Should you be selected to participate in this workgroup, the NuPA Planning Com</w:t>
            </w:r>
            <w:r w:rsidR="00E14356">
              <w:t>mittee will reach out to you with</w:t>
            </w:r>
            <w:r>
              <w:t xml:space="preserve"> membership details.</w:t>
            </w:r>
          </w:p>
        </w:tc>
        <w:tc>
          <w:tcPr>
            <w:tcW w:w="6475" w:type="dxa"/>
          </w:tcPr>
          <w:p w14:paraId="2512384B" w14:textId="00216982" w:rsidR="00861FFB" w:rsidRDefault="00A07E06" w:rsidP="00617F08">
            <w:pPr>
              <w:jc w:val="center"/>
            </w:pPr>
            <w:r>
              <w:t>N/A</w:t>
            </w:r>
          </w:p>
        </w:tc>
      </w:tr>
      <w:tr w:rsidR="003A3FCA" w14:paraId="3F4788E4" w14:textId="77777777" w:rsidTr="005D1663">
        <w:trPr>
          <w:trHeight w:val="278"/>
        </w:trPr>
        <w:tc>
          <w:tcPr>
            <w:tcW w:w="12950" w:type="dxa"/>
            <w:gridSpan w:val="2"/>
            <w:shd w:val="clear" w:color="auto" w:fill="FBE4D5" w:themeFill="accent2" w:themeFillTint="33"/>
          </w:tcPr>
          <w:p w14:paraId="00C014C5" w14:textId="77777777" w:rsidR="003A3FCA" w:rsidRDefault="003A3FCA" w:rsidP="00861FFB">
            <w:pPr>
              <w:jc w:val="center"/>
              <w:rPr>
                <w:b/>
              </w:rPr>
            </w:pPr>
            <w:r>
              <w:rPr>
                <w:b/>
              </w:rPr>
              <w:lastRenderedPageBreak/>
              <w:t>Objective #3</w:t>
            </w:r>
          </w:p>
          <w:p w14:paraId="0E1E8FCE" w14:textId="77777777" w:rsidR="003A3FCA" w:rsidRDefault="003A3FCA" w:rsidP="00861FFB">
            <w:pPr>
              <w:jc w:val="center"/>
              <w:rPr>
                <w:b/>
              </w:rPr>
            </w:pPr>
            <w:r>
              <w:rPr>
                <w:b/>
              </w:rPr>
              <w:t xml:space="preserve">By June 2018, the action will have redesigned the NuPA webpage </w:t>
            </w:r>
          </w:p>
          <w:p w14:paraId="4755694E" w14:textId="77777777" w:rsidR="003A3FCA" w:rsidRDefault="003A3FCA" w:rsidP="00861FFB">
            <w:pPr>
              <w:jc w:val="center"/>
              <w:rPr>
                <w:b/>
              </w:rPr>
            </w:pPr>
            <w:r>
              <w:rPr>
                <w:b/>
              </w:rPr>
              <w:t>into a new, user friendly and accessible platform of resources for the OST field.</w:t>
            </w:r>
          </w:p>
          <w:p w14:paraId="29F536E4" w14:textId="457F7FC4" w:rsidR="003A3FCA" w:rsidRDefault="003A3FCA" w:rsidP="00861FFB">
            <w:pPr>
              <w:jc w:val="center"/>
            </w:pPr>
          </w:p>
        </w:tc>
      </w:tr>
      <w:tr w:rsidR="00861FFB" w14:paraId="3FF3397F" w14:textId="77777777" w:rsidTr="004E2099">
        <w:trPr>
          <w:trHeight w:val="278"/>
        </w:trPr>
        <w:tc>
          <w:tcPr>
            <w:tcW w:w="6475" w:type="dxa"/>
            <w:shd w:val="clear" w:color="auto" w:fill="E7E6E6" w:themeFill="background2"/>
          </w:tcPr>
          <w:p w14:paraId="320E3B31" w14:textId="1F3CD378" w:rsidR="00861FFB" w:rsidRPr="00861FFB" w:rsidRDefault="00861FFB" w:rsidP="00861FFB">
            <w:pPr>
              <w:pStyle w:val="ListParagraph"/>
              <w:rPr>
                <w:b/>
              </w:rPr>
            </w:pPr>
            <w:r w:rsidRPr="00861FFB">
              <w:rPr>
                <w:b/>
              </w:rPr>
              <w:t>Activities include, but are not limited to:</w:t>
            </w:r>
          </w:p>
        </w:tc>
        <w:tc>
          <w:tcPr>
            <w:tcW w:w="6475" w:type="dxa"/>
            <w:shd w:val="clear" w:color="auto" w:fill="E7E6E6" w:themeFill="background2"/>
          </w:tcPr>
          <w:p w14:paraId="6701825E" w14:textId="154A9372" w:rsidR="00861FFB" w:rsidRPr="00861FFB" w:rsidRDefault="00C80D4D" w:rsidP="00617F08">
            <w:pPr>
              <w:jc w:val="center"/>
              <w:rPr>
                <w:b/>
              </w:rPr>
            </w:pPr>
            <w:r>
              <w:rPr>
                <w:b/>
              </w:rPr>
              <w:t>Notes:</w:t>
            </w:r>
          </w:p>
        </w:tc>
      </w:tr>
      <w:tr w:rsidR="00861FFB" w14:paraId="75F5C55C" w14:textId="77777777" w:rsidTr="004E2099">
        <w:trPr>
          <w:trHeight w:val="278"/>
        </w:trPr>
        <w:tc>
          <w:tcPr>
            <w:tcW w:w="6475" w:type="dxa"/>
          </w:tcPr>
          <w:p w14:paraId="2E9D0FCA" w14:textId="42331B0F" w:rsidR="00861FFB" w:rsidRDefault="00CF5AD8" w:rsidP="00861FFB">
            <w:pPr>
              <w:pStyle w:val="ListParagraph"/>
              <w:numPr>
                <w:ilvl w:val="0"/>
                <w:numId w:val="1"/>
              </w:numPr>
            </w:pPr>
            <w:r>
              <w:t>Assessment</w:t>
            </w:r>
            <w:r w:rsidR="00137EBB">
              <w:t xml:space="preserve"> and elimination of</w:t>
            </w:r>
            <w:r w:rsidR="00861FFB">
              <w:t xml:space="preserve"> current website content</w:t>
            </w:r>
          </w:p>
          <w:p w14:paraId="5A737C0B" w14:textId="3DA1F69A" w:rsidR="00861FFB" w:rsidRDefault="00861FFB" w:rsidP="00861FFB">
            <w:pPr>
              <w:pStyle w:val="ListParagraph"/>
              <w:numPr>
                <w:ilvl w:val="0"/>
                <w:numId w:val="1"/>
              </w:numPr>
            </w:pPr>
            <w:r>
              <w:t xml:space="preserve">Creation of CAN NuPA webpage layout, content, </w:t>
            </w:r>
            <w:r w:rsidR="00CF5AD8">
              <w:t>archiving</w:t>
            </w:r>
            <w:r>
              <w:t xml:space="preserve"> process, etc. </w:t>
            </w:r>
          </w:p>
          <w:p w14:paraId="30F68F84" w14:textId="03DAE9BE" w:rsidR="00861FFB" w:rsidRDefault="00861FFB" w:rsidP="0005416C">
            <w:pPr>
              <w:pStyle w:val="ListParagraph"/>
              <w:numPr>
                <w:ilvl w:val="0"/>
                <w:numId w:val="1"/>
              </w:numPr>
            </w:pPr>
            <w:r>
              <w:t xml:space="preserve">Continuous updates of resources, </w:t>
            </w:r>
            <w:r w:rsidR="0005416C">
              <w:t xml:space="preserve">policy updates, web libraries, </w:t>
            </w:r>
            <w:r>
              <w:t>funding and professional development opportunities</w:t>
            </w:r>
          </w:p>
        </w:tc>
        <w:tc>
          <w:tcPr>
            <w:tcW w:w="6475" w:type="dxa"/>
          </w:tcPr>
          <w:p w14:paraId="7DEC86A1" w14:textId="260A7AD4" w:rsidR="00861FFB" w:rsidRDefault="00861FFB" w:rsidP="00192C58">
            <w:pPr>
              <w:pStyle w:val="ListParagraph"/>
              <w:numPr>
                <w:ilvl w:val="0"/>
                <w:numId w:val="1"/>
              </w:numPr>
            </w:pPr>
            <w:r>
              <w:t>This workgroup will operate on an ongoing basis and meet as needed, and decided on by the committee.</w:t>
            </w:r>
          </w:p>
        </w:tc>
      </w:tr>
      <w:tr w:rsidR="003A3FCA" w14:paraId="28CA26F5" w14:textId="77777777" w:rsidTr="00945921">
        <w:trPr>
          <w:trHeight w:val="278"/>
        </w:trPr>
        <w:tc>
          <w:tcPr>
            <w:tcW w:w="12950" w:type="dxa"/>
            <w:gridSpan w:val="2"/>
            <w:shd w:val="clear" w:color="auto" w:fill="FBE4D5" w:themeFill="accent2" w:themeFillTint="33"/>
          </w:tcPr>
          <w:p w14:paraId="002B6181" w14:textId="77777777" w:rsidR="003A3FCA" w:rsidRDefault="003A3FCA" w:rsidP="00861FFB">
            <w:pPr>
              <w:jc w:val="center"/>
              <w:rPr>
                <w:b/>
              </w:rPr>
            </w:pPr>
            <w:r>
              <w:rPr>
                <w:b/>
              </w:rPr>
              <w:t>Objective #4</w:t>
            </w:r>
          </w:p>
          <w:p w14:paraId="72F13198" w14:textId="77777777" w:rsidR="003A3FCA" w:rsidRDefault="003A3FCA" w:rsidP="003A3FCA">
            <w:pPr>
              <w:jc w:val="center"/>
              <w:rPr>
                <w:b/>
              </w:rPr>
            </w:pPr>
            <w:r>
              <w:rPr>
                <w:b/>
              </w:rPr>
              <w:t xml:space="preserve">By September 2018, the NuPA action team will have created a Healthy Choices </w:t>
            </w:r>
          </w:p>
          <w:p w14:paraId="2560EE80" w14:textId="77777777" w:rsidR="003A3FCA" w:rsidRDefault="003A3FCA" w:rsidP="003A3FCA">
            <w:pPr>
              <w:jc w:val="center"/>
              <w:rPr>
                <w:b/>
              </w:rPr>
            </w:pPr>
            <w:r>
              <w:rPr>
                <w:b/>
              </w:rPr>
              <w:t>and Behaviors workshop to be submitted for presentation at the 2019 BOOST Conference.</w:t>
            </w:r>
          </w:p>
          <w:p w14:paraId="03D54BD0" w14:textId="2A088EF4" w:rsidR="003A3FCA" w:rsidRPr="003A3FCA" w:rsidRDefault="003A3FCA" w:rsidP="003A3FCA">
            <w:pPr>
              <w:jc w:val="center"/>
              <w:rPr>
                <w:b/>
              </w:rPr>
            </w:pPr>
            <w:bookmarkStart w:id="0" w:name="_GoBack"/>
            <w:bookmarkEnd w:id="0"/>
          </w:p>
        </w:tc>
      </w:tr>
      <w:tr w:rsidR="00861FFB" w14:paraId="1815D37F" w14:textId="77777777" w:rsidTr="004E2099">
        <w:trPr>
          <w:trHeight w:val="260"/>
        </w:trPr>
        <w:tc>
          <w:tcPr>
            <w:tcW w:w="6475" w:type="dxa"/>
            <w:shd w:val="clear" w:color="auto" w:fill="E6E6E6"/>
          </w:tcPr>
          <w:p w14:paraId="0A70F7DA" w14:textId="7952F6E2" w:rsidR="00861FFB" w:rsidRDefault="00861FFB" w:rsidP="00861FFB">
            <w:pPr>
              <w:jc w:val="center"/>
            </w:pPr>
            <w:r w:rsidRPr="00861FFB">
              <w:rPr>
                <w:b/>
              </w:rPr>
              <w:t>Activities include, but are not limited to:</w:t>
            </w:r>
          </w:p>
        </w:tc>
        <w:tc>
          <w:tcPr>
            <w:tcW w:w="6475" w:type="dxa"/>
            <w:shd w:val="clear" w:color="auto" w:fill="E6E6E6"/>
          </w:tcPr>
          <w:p w14:paraId="2AE11600" w14:textId="56741097" w:rsidR="00861FFB" w:rsidRPr="00861FFB" w:rsidRDefault="00C80D4D" w:rsidP="00617F08">
            <w:pPr>
              <w:jc w:val="center"/>
              <w:rPr>
                <w:b/>
              </w:rPr>
            </w:pPr>
            <w:r>
              <w:rPr>
                <w:b/>
              </w:rPr>
              <w:t>Notes:</w:t>
            </w:r>
          </w:p>
        </w:tc>
      </w:tr>
      <w:tr w:rsidR="00C80D4D" w14:paraId="6A0E83DE" w14:textId="77777777" w:rsidTr="004E2099">
        <w:trPr>
          <w:trHeight w:val="260"/>
        </w:trPr>
        <w:tc>
          <w:tcPr>
            <w:tcW w:w="6475" w:type="dxa"/>
            <w:shd w:val="clear" w:color="auto" w:fill="auto"/>
          </w:tcPr>
          <w:p w14:paraId="689F31B8" w14:textId="6598DDD5" w:rsidR="00C80D4D" w:rsidRDefault="00C80D4D" w:rsidP="00C80D4D">
            <w:pPr>
              <w:pStyle w:val="ListParagraph"/>
              <w:numPr>
                <w:ilvl w:val="0"/>
                <w:numId w:val="4"/>
              </w:numPr>
            </w:pPr>
            <w:r>
              <w:t>Develop title, outline/overview, internal agenda and powerpoint for workshop</w:t>
            </w:r>
          </w:p>
          <w:p w14:paraId="0CF6CC80" w14:textId="475B73D2" w:rsidR="00C80D4D" w:rsidRDefault="00C80D4D" w:rsidP="00C80D4D">
            <w:pPr>
              <w:pStyle w:val="ListParagraph"/>
              <w:numPr>
                <w:ilvl w:val="0"/>
                <w:numId w:val="4"/>
              </w:numPr>
            </w:pPr>
            <w:r>
              <w:t>Creation of an activities packet for dissemination</w:t>
            </w:r>
          </w:p>
          <w:p w14:paraId="1A771622" w14:textId="5AF3DABE" w:rsidR="00C80D4D" w:rsidRDefault="00C80D4D" w:rsidP="00C80D4D">
            <w:pPr>
              <w:pStyle w:val="ListParagraph"/>
              <w:numPr>
                <w:ilvl w:val="0"/>
                <w:numId w:val="4"/>
              </w:numPr>
            </w:pPr>
            <w:r>
              <w:t>Potential for facilitation at BOOST conference, or regional symposiums on the Action Teams behalf</w:t>
            </w:r>
          </w:p>
          <w:p w14:paraId="1CE28235" w14:textId="42203507" w:rsidR="00C80D4D" w:rsidRPr="00861FFB" w:rsidRDefault="00C80D4D" w:rsidP="00861FFB">
            <w:pPr>
              <w:jc w:val="center"/>
              <w:rPr>
                <w:b/>
              </w:rPr>
            </w:pPr>
          </w:p>
        </w:tc>
        <w:tc>
          <w:tcPr>
            <w:tcW w:w="6475" w:type="dxa"/>
            <w:shd w:val="clear" w:color="auto" w:fill="auto"/>
          </w:tcPr>
          <w:p w14:paraId="359FF8BE" w14:textId="474BB021" w:rsidR="00C80D4D" w:rsidRDefault="00C80D4D" w:rsidP="00192C58">
            <w:pPr>
              <w:pStyle w:val="ListParagraph"/>
              <w:numPr>
                <w:ilvl w:val="0"/>
                <w:numId w:val="4"/>
              </w:numPr>
            </w:pPr>
            <w:r>
              <w:t>RFP deadline for BOOST conference: September 2018</w:t>
            </w:r>
          </w:p>
          <w:p w14:paraId="38A9EDA4" w14:textId="51AB59C7" w:rsidR="00C80D4D" w:rsidRPr="00192C58" w:rsidRDefault="00C80D4D" w:rsidP="00192C58">
            <w:pPr>
              <w:pStyle w:val="ListParagraph"/>
              <w:numPr>
                <w:ilvl w:val="0"/>
                <w:numId w:val="4"/>
              </w:numPr>
              <w:rPr>
                <w:b/>
              </w:rPr>
            </w:pPr>
            <w:r>
              <w:t>This workgroup will operate on an ongoing basis and meet as needed, and decided on by the committee.</w:t>
            </w:r>
          </w:p>
        </w:tc>
      </w:tr>
    </w:tbl>
    <w:p w14:paraId="74D93696" w14:textId="77777777" w:rsidR="00617F08" w:rsidRDefault="00617F08"/>
    <w:p w14:paraId="4C1012DA" w14:textId="77777777" w:rsidR="005A6DD0" w:rsidRDefault="005A6DD0"/>
    <w:p w14:paraId="0A652A18" w14:textId="77777777" w:rsidR="003B5F1E" w:rsidRDefault="003B5F1E" w:rsidP="003B5F1E">
      <w:pPr>
        <w:rPr>
          <w:rFonts w:eastAsia="Times New Roman"/>
          <w:b/>
          <w:color w:val="000000" w:themeColor="text1"/>
          <w:sz w:val="28"/>
          <w:szCs w:val="28"/>
        </w:rPr>
      </w:pPr>
      <w:r w:rsidRPr="00161244">
        <w:rPr>
          <w:rFonts w:eastAsia="Times New Roman"/>
          <w:color w:val="000000" w:themeColor="text1"/>
          <w:sz w:val="28"/>
          <w:szCs w:val="28"/>
        </w:rPr>
        <w:t>There are two primary ways th</w:t>
      </w:r>
      <w:r>
        <w:rPr>
          <w:rFonts w:eastAsia="Times New Roman"/>
          <w:color w:val="000000" w:themeColor="text1"/>
          <w:sz w:val="28"/>
          <w:szCs w:val="28"/>
        </w:rPr>
        <w:t>at stakeholders and the field can participate in the California AfterSchool Network Action Teams</w:t>
      </w:r>
      <w:r w:rsidRPr="00161244">
        <w:rPr>
          <w:rFonts w:eastAsia="Times New Roman"/>
          <w:color w:val="000000" w:themeColor="text1"/>
          <w:sz w:val="28"/>
          <w:szCs w:val="28"/>
        </w:rPr>
        <w:t>. They are not mutually exclusive, and each carries specific levels of benefits and responsibilities.</w:t>
      </w:r>
      <w:r w:rsidRPr="00161244">
        <w:rPr>
          <w:rFonts w:eastAsia="Times New Roman"/>
          <w:color w:val="000000" w:themeColor="text1"/>
          <w:sz w:val="28"/>
          <w:szCs w:val="28"/>
        </w:rPr>
        <w:br/>
      </w:r>
      <w:r w:rsidRPr="00161244">
        <w:rPr>
          <w:rFonts w:eastAsia="Times New Roman"/>
          <w:color w:val="000000" w:themeColor="text1"/>
          <w:sz w:val="28"/>
          <w:szCs w:val="28"/>
        </w:rPr>
        <w:br/>
      </w:r>
      <w:r w:rsidRPr="00161244">
        <w:rPr>
          <w:rFonts w:eastAsia="Times New Roman"/>
          <w:b/>
          <w:color w:val="000000" w:themeColor="text1"/>
          <w:sz w:val="28"/>
          <w:szCs w:val="28"/>
        </w:rPr>
        <w:t>Subscribers</w:t>
      </w:r>
      <w:r w:rsidRPr="00161244">
        <w:rPr>
          <w:rFonts w:eastAsia="Times New Roman"/>
          <w:color w:val="000000" w:themeColor="text1"/>
          <w:sz w:val="28"/>
          <w:szCs w:val="28"/>
        </w:rPr>
        <w:br/>
        <w:t>Network subscribers receive free access to information regarding current after school policy, funding opportunities, resources to build quality, as well as current after school news, events, and research</w:t>
      </w:r>
      <w:r>
        <w:rPr>
          <w:rFonts w:eastAsia="Times New Roman"/>
          <w:color w:val="000000" w:themeColor="text1"/>
          <w:sz w:val="28"/>
          <w:szCs w:val="28"/>
        </w:rPr>
        <w:t xml:space="preserve"> all through the </w:t>
      </w:r>
      <w:r w:rsidRPr="00161244">
        <w:rPr>
          <w:rFonts w:eastAsia="Times New Roman"/>
          <w:color w:val="000000" w:themeColor="text1"/>
          <w:sz w:val="28"/>
          <w:szCs w:val="28"/>
        </w:rPr>
        <w:t>CAN Newsletter, social media, and website.</w:t>
      </w:r>
      <w:r w:rsidRPr="00161244">
        <w:rPr>
          <w:rFonts w:eastAsia="Times New Roman"/>
          <w:color w:val="000000" w:themeColor="text1"/>
          <w:sz w:val="28"/>
          <w:szCs w:val="28"/>
        </w:rPr>
        <w:br/>
      </w:r>
      <w:r w:rsidRPr="00161244">
        <w:rPr>
          <w:rFonts w:eastAsia="Times New Roman"/>
          <w:color w:val="000000" w:themeColor="text1"/>
          <w:sz w:val="28"/>
          <w:szCs w:val="28"/>
        </w:rPr>
        <w:br/>
      </w:r>
    </w:p>
    <w:p w14:paraId="68F2C7DB" w14:textId="660C9F47" w:rsidR="003B5F1E" w:rsidRPr="00161244" w:rsidRDefault="003B5F1E" w:rsidP="003B5F1E">
      <w:pPr>
        <w:rPr>
          <w:rFonts w:eastAsia="Times New Roman"/>
          <w:color w:val="000000" w:themeColor="text1"/>
          <w:sz w:val="28"/>
          <w:szCs w:val="28"/>
        </w:rPr>
      </w:pPr>
      <w:r w:rsidRPr="00161244">
        <w:rPr>
          <w:rFonts w:eastAsia="Times New Roman"/>
          <w:b/>
          <w:color w:val="000000" w:themeColor="text1"/>
          <w:sz w:val="28"/>
          <w:szCs w:val="28"/>
        </w:rPr>
        <w:t>Members</w:t>
      </w:r>
      <w:r w:rsidRPr="00161244">
        <w:rPr>
          <w:rFonts w:eastAsia="Times New Roman"/>
          <w:color w:val="000000" w:themeColor="text1"/>
          <w:sz w:val="28"/>
          <w:szCs w:val="28"/>
        </w:rPr>
        <w:br/>
        <w:t>Network members actively participate in CAN Action Teams and Work</w:t>
      </w:r>
      <w:r>
        <w:rPr>
          <w:rFonts w:eastAsia="Times New Roman"/>
          <w:color w:val="000000" w:themeColor="text1"/>
          <w:sz w:val="28"/>
          <w:szCs w:val="28"/>
        </w:rPr>
        <w:t>g</w:t>
      </w:r>
      <w:r w:rsidRPr="00161244">
        <w:rPr>
          <w:rFonts w:eastAsia="Times New Roman"/>
          <w:color w:val="000000" w:themeColor="text1"/>
          <w:sz w:val="28"/>
          <w:szCs w:val="28"/>
        </w:rPr>
        <w:t xml:space="preserve">roup activities. Members represent the voice of the field and inform Network staff regarding CAN’s efforts to address out-of-school time issues and concerns, and work collectively to achieve specific objectives </w:t>
      </w:r>
      <w:r>
        <w:rPr>
          <w:rFonts w:eastAsia="Times New Roman"/>
          <w:color w:val="000000" w:themeColor="text1"/>
          <w:sz w:val="28"/>
          <w:szCs w:val="28"/>
        </w:rPr>
        <w:t>within</w:t>
      </w:r>
      <w:r w:rsidRPr="00161244">
        <w:rPr>
          <w:rFonts w:eastAsia="Times New Roman"/>
          <w:color w:val="000000" w:themeColor="text1"/>
          <w:sz w:val="28"/>
          <w:szCs w:val="28"/>
        </w:rPr>
        <w:t xml:space="preserve"> </w:t>
      </w:r>
      <w:r>
        <w:rPr>
          <w:rFonts w:eastAsia="Times New Roman"/>
          <w:color w:val="000000" w:themeColor="text1"/>
          <w:sz w:val="28"/>
          <w:szCs w:val="28"/>
        </w:rPr>
        <w:t xml:space="preserve">each Action Team’s or Workgroup’s </w:t>
      </w:r>
      <w:r w:rsidRPr="00161244">
        <w:rPr>
          <w:rFonts w:eastAsia="Times New Roman"/>
          <w:color w:val="000000" w:themeColor="text1"/>
          <w:sz w:val="28"/>
          <w:szCs w:val="28"/>
        </w:rPr>
        <w:t>work plan. Members receive the benefits of subscribers as well as opportunities for networking, collaborative work plan implementation, and resource sharing around common areas of interest. Members secure their commitment by signing an Action Team</w:t>
      </w:r>
      <w:r>
        <w:rPr>
          <w:rFonts w:eastAsia="Times New Roman"/>
          <w:color w:val="000000" w:themeColor="text1"/>
          <w:sz w:val="28"/>
          <w:szCs w:val="28"/>
        </w:rPr>
        <w:t xml:space="preserve"> or Workgroup</w:t>
      </w:r>
      <w:r w:rsidRPr="00161244">
        <w:rPr>
          <w:rFonts w:eastAsia="Times New Roman"/>
          <w:color w:val="000000" w:themeColor="text1"/>
          <w:sz w:val="28"/>
          <w:szCs w:val="28"/>
        </w:rPr>
        <w:t xml:space="preserve"> member commitment agreement that details the specific expectations of the Action Team</w:t>
      </w:r>
      <w:r>
        <w:rPr>
          <w:rFonts w:eastAsia="Times New Roman"/>
          <w:color w:val="000000" w:themeColor="text1"/>
          <w:sz w:val="28"/>
          <w:szCs w:val="28"/>
        </w:rPr>
        <w:t xml:space="preserve"> or Workgroup</w:t>
      </w:r>
      <w:r w:rsidRPr="00161244">
        <w:rPr>
          <w:rFonts w:eastAsia="Times New Roman"/>
          <w:color w:val="000000" w:themeColor="text1"/>
          <w:sz w:val="28"/>
          <w:szCs w:val="28"/>
        </w:rPr>
        <w:t xml:space="preserve"> they are joining.</w:t>
      </w:r>
    </w:p>
    <w:p w14:paraId="44EA1545" w14:textId="77777777" w:rsidR="003B5F1E" w:rsidRPr="00161244" w:rsidRDefault="003B5F1E" w:rsidP="003B5F1E">
      <w:pPr>
        <w:rPr>
          <w:rFonts w:eastAsia="Times New Roman"/>
          <w:b/>
          <w:color w:val="000000" w:themeColor="text1"/>
          <w:sz w:val="28"/>
          <w:szCs w:val="28"/>
        </w:rPr>
      </w:pPr>
    </w:p>
    <w:p w14:paraId="633EC371" w14:textId="40141DFF" w:rsidR="003B5F1E" w:rsidRPr="00161244" w:rsidRDefault="003B5F1E" w:rsidP="003B5F1E">
      <w:pPr>
        <w:rPr>
          <w:b/>
          <w:color w:val="000000" w:themeColor="text1"/>
          <w:sz w:val="28"/>
          <w:szCs w:val="28"/>
        </w:rPr>
      </w:pPr>
      <w:r>
        <w:rPr>
          <w:b/>
          <w:color w:val="000000" w:themeColor="text1"/>
          <w:sz w:val="28"/>
          <w:szCs w:val="28"/>
        </w:rPr>
        <w:t>Commitment A</w:t>
      </w:r>
      <w:r w:rsidRPr="00161244">
        <w:rPr>
          <w:b/>
          <w:color w:val="000000" w:themeColor="text1"/>
          <w:sz w:val="28"/>
          <w:szCs w:val="28"/>
        </w:rPr>
        <w:t>greement</w:t>
      </w:r>
    </w:p>
    <w:p w14:paraId="79DCBBE9" w14:textId="77777777" w:rsidR="003B5F1E" w:rsidRPr="00161244" w:rsidRDefault="003B5F1E" w:rsidP="003B5F1E">
      <w:pPr>
        <w:widowControl w:val="0"/>
        <w:autoSpaceDE w:val="0"/>
        <w:autoSpaceDN w:val="0"/>
        <w:adjustRightInd w:val="0"/>
        <w:rPr>
          <w:color w:val="000000" w:themeColor="text1"/>
          <w:sz w:val="28"/>
          <w:szCs w:val="28"/>
        </w:rPr>
      </w:pPr>
      <w:r w:rsidRPr="00161244">
        <w:rPr>
          <w:color w:val="000000" w:themeColor="text1"/>
          <w:sz w:val="28"/>
          <w:szCs w:val="28"/>
        </w:rPr>
        <w:t xml:space="preserve">Action </w:t>
      </w:r>
      <w:r>
        <w:rPr>
          <w:color w:val="000000" w:themeColor="text1"/>
          <w:sz w:val="28"/>
          <w:szCs w:val="28"/>
        </w:rPr>
        <w:t>T</w:t>
      </w:r>
      <w:r w:rsidRPr="00161244">
        <w:rPr>
          <w:color w:val="000000" w:themeColor="text1"/>
          <w:sz w:val="28"/>
          <w:szCs w:val="28"/>
        </w:rPr>
        <w:t xml:space="preserve">eam </w:t>
      </w:r>
      <w:r>
        <w:rPr>
          <w:color w:val="000000" w:themeColor="text1"/>
          <w:sz w:val="28"/>
          <w:szCs w:val="28"/>
        </w:rPr>
        <w:t xml:space="preserve">or Workgroup </w:t>
      </w:r>
      <w:r w:rsidRPr="00161244">
        <w:rPr>
          <w:color w:val="000000" w:themeColor="text1"/>
          <w:sz w:val="28"/>
          <w:szCs w:val="28"/>
        </w:rPr>
        <w:t xml:space="preserve">members make a commitment to attend 66% of all scheduled action team workgroup meetings, and commit to </w:t>
      </w:r>
      <w:r>
        <w:rPr>
          <w:color w:val="000000" w:themeColor="text1"/>
          <w:sz w:val="28"/>
          <w:szCs w:val="28"/>
        </w:rPr>
        <w:t>A</w:t>
      </w:r>
      <w:r w:rsidRPr="00161244">
        <w:rPr>
          <w:color w:val="000000" w:themeColor="text1"/>
          <w:sz w:val="28"/>
          <w:szCs w:val="28"/>
        </w:rPr>
        <w:t xml:space="preserve">ction </w:t>
      </w:r>
      <w:r>
        <w:rPr>
          <w:color w:val="000000" w:themeColor="text1"/>
          <w:sz w:val="28"/>
          <w:szCs w:val="28"/>
        </w:rPr>
        <w:t>T</w:t>
      </w:r>
      <w:r w:rsidRPr="00161244">
        <w:rPr>
          <w:color w:val="000000" w:themeColor="text1"/>
          <w:sz w:val="28"/>
          <w:szCs w:val="28"/>
        </w:rPr>
        <w:t xml:space="preserve">eam and </w:t>
      </w:r>
      <w:r>
        <w:rPr>
          <w:color w:val="000000" w:themeColor="text1"/>
          <w:sz w:val="28"/>
          <w:szCs w:val="28"/>
        </w:rPr>
        <w:t>W</w:t>
      </w:r>
      <w:r w:rsidRPr="00161244">
        <w:rPr>
          <w:color w:val="000000" w:themeColor="text1"/>
          <w:sz w:val="28"/>
          <w:szCs w:val="28"/>
        </w:rPr>
        <w:t xml:space="preserve">orkgroup efforts between meetings as defined by each </w:t>
      </w:r>
      <w:r>
        <w:rPr>
          <w:color w:val="000000" w:themeColor="text1"/>
          <w:sz w:val="28"/>
          <w:szCs w:val="28"/>
        </w:rPr>
        <w:t>A</w:t>
      </w:r>
      <w:r w:rsidRPr="00161244">
        <w:rPr>
          <w:color w:val="000000" w:themeColor="text1"/>
          <w:sz w:val="28"/>
          <w:szCs w:val="28"/>
        </w:rPr>
        <w:t xml:space="preserve">ction </w:t>
      </w:r>
      <w:r>
        <w:rPr>
          <w:color w:val="000000" w:themeColor="text1"/>
          <w:sz w:val="28"/>
          <w:szCs w:val="28"/>
        </w:rPr>
        <w:t>T</w:t>
      </w:r>
      <w:r w:rsidRPr="00161244">
        <w:rPr>
          <w:color w:val="000000" w:themeColor="text1"/>
          <w:sz w:val="28"/>
          <w:szCs w:val="28"/>
        </w:rPr>
        <w:t xml:space="preserve">eam or </w:t>
      </w:r>
      <w:r>
        <w:rPr>
          <w:color w:val="000000" w:themeColor="text1"/>
          <w:sz w:val="28"/>
          <w:szCs w:val="28"/>
        </w:rPr>
        <w:t>W</w:t>
      </w:r>
      <w:r w:rsidRPr="00161244">
        <w:rPr>
          <w:color w:val="000000" w:themeColor="text1"/>
          <w:sz w:val="28"/>
          <w:szCs w:val="28"/>
        </w:rPr>
        <w:t xml:space="preserve">orkgroup. Action </w:t>
      </w:r>
      <w:r>
        <w:rPr>
          <w:color w:val="000000" w:themeColor="text1"/>
          <w:sz w:val="28"/>
          <w:szCs w:val="28"/>
        </w:rPr>
        <w:t>T</w:t>
      </w:r>
      <w:r w:rsidRPr="00161244">
        <w:rPr>
          <w:color w:val="000000" w:themeColor="text1"/>
          <w:sz w:val="28"/>
          <w:szCs w:val="28"/>
        </w:rPr>
        <w:t xml:space="preserve">eam </w:t>
      </w:r>
      <w:r>
        <w:rPr>
          <w:color w:val="000000" w:themeColor="text1"/>
          <w:sz w:val="28"/>
          <w:szCs w:val="28"/>
        </w:rPr>
        <w:t xml:space="preserve">or Workgroup </w:t>
      </w:r>
      <w:r w:rsidRPr="00161244">
        <w:rPr>
          <w:color w:val="000000" w:themeColor="text1"/>
          <w:sz w:val="28"/>
          <w:szCs w:val="28"/>
        </w:rPr>
        <w:t xml:space="preserve">members commit to support a one-year work plan with specific objectives and are free to continue for subsequent years without term limit. </w:t>
      </w:r>
    </w:p>
    <w:p w14:paraId="50F2C770" w14:textId="19659430" w:rsidR="005A6DD0" w:rsidRDefault="005A6DD0" w:rsidP="003B5F1E"/>
    <w:sectPr w:rsidR="005A6DD0" w:rsidSect="004E2099">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DFC"/>
    <w:multiLevelType w:val="hybridMultilevel"/>
    <w:tmpl w:val="2BB88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3B2E9D"/>
    <w:multiLevelType w:val="hybridMultilevel"/>
    <w:tmpl w:val="84DE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65B2C"/>
    <w:multiLevelType w:val="hybridMultilevel"/>
    <w:tmpl w:val="0068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1A358A"/>
    <w:multiLevelType w:val="hybridMultilevel"/>
    <w:tmpl w:val="B0EA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8"/>
    <w:rsid w:val="0005416C"/>
    <w:rsid w:val="000C47FB"/>
    <w:rsid w:val="00137EBB"/>
    <w:rsid w:val="00192C58"/>
    <w:rsid w:val="001C62E4"/>
    <w:rsid w:val="00315D98"/>
    <w:rsid w:val="003A3FCA"/>
    <w:rsid w:val="003B5F1E"/>
    <w:rsid w:val="00424256"/>
    <w:rsid w:val="004E2099"/>
    <w:rsid w:val="005A6DD0"/>
    <w:rsid w:val="005F59E6"/>
    <w:rsid w:val="00617F08"/>
    <w:rsid w:val="006C15DE"/>
    <w:rsid w:val="007B0971"/>
    <w:rsid w:val="00861FFB"/>
    <w:rsid w:val="008D125A"/>
    <w:rsid w:val="00A07E06"/>
    <w:rsid w:val="00AF3275"/>
    <w:rsid w:val="00C80D4D"/>
    <w:rsid w:val="00CD50A3"/>
    <w:rsid w:val="00CF5AD8"/>
    <w:rsid w:val="00D2529D"/>
    <w:rsid w:val="00DE62D1"/>
    <w:rsid w:val="00E1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0B09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7F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F08"/>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F08"/>
    <w:rPr>
      <w:color w:val="0563C1" w:themeColor="hyperlink"/>
      <w:u w:val="single"/>
    </w:rPr>
  </w:style>
  <w:style w:type="paragraph" w:styleId="ListParagraph">
    <w:name w:val="List Paragraph"/>
    <w:basedOn w:val="Normal"/>
    <w:uiPriority w:val="34"/>
    <w:qFormat/>
    <w:rsid w:val="005A6DD0"/>
    <w:pPr>
      <w:ind w:left="720"/>
      <w:contextualSpacing/>
    </w:pPr>
  </w:style>
  <w:style w:type="paragraph" w:styleId="BalloonText">
    <w:name w:val="Balloon Text"/>
    <w:basedOn w:val="Normal"/>
    <w:link w:val="BalloonTextChar"/>
    <w:uiPriority w:val="99"/>
    <w:semiHidden/>
    <w:unhideWhenUsed/>
    <w:rsid w:val="00AF3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75"/>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0C47FB"/>
    <w:rPr>
      <w:sz w:val="18"/>
      <w:szCs w:val="18"/>
    </w:rPr>
  </w:style>
  <w:style w:type="paragraph" w:styleId="CommentText">
    <w:name w:val="annotation text"/>
    <w:basedOn w:val="Normal"/>
    <w:link w:val="CommentTextChar"/>
    <w:uiPriority w:val="99"/>
    <w:semiHidden/>
    <w:unhideWhenUsed/>
    <w:rsid w:val="000C47FB"/>
  </w:style>
  <w:style w:type="character" w:customStyle="1" w:styleId="CommentTextChar">
    <w:name w:val="Comment Text Char"/>
    <w:basedOn w:val="DefaultParagraphFont"/>
    <w:link w:val="CommentText"/>
    <w:uiPriority w:val="99"/>
    <w:semiHidden/>
    <w:rsid w:val="000C47FB"/>
    <w:rPr>
      <w:rFonts w:eastAsiaTheme="minorEastAsia"/>
    </w:rPr>
  </w:style>
  <w:style w:type="paragraph" w:styleId="CommentSubject">
    <w:name w:val="annotation subject"/>
    <w:basedOn w:val="CommentText"/>
    <w:next w:val="CommentText"/>
    <w:link w:val="CommentSubjectChar"/>
    <w:uiPriority w:val="99"/>
    <w:semiHidden/>
    <w:unhideWhenUsed/>
    <w:rsid w:val="000C47FB"/>
    <w:rPr>
      <w:b/>
      <w:bCs/>
      <w:sz w:val="20"/>
      <w:szCs w:val="20"/>
    </w:rPr>
  </w:style>
  <w:style w:type="character" w:customStyle="1" w:styleId="CommentSubjectChar">
    <w:name w:val="Comment Subject Char"/>
    <w:basedOn w:val="CommentTextChar"/>
    <w:link w:val="CommentSubject"/>
    <w:uiPriority w:val="99"/>
    <w:semiHidden/>
    <w:rsid w:val="000C47F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624</Words>
  <Characters>3562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Foundation for California Community Colleges</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Bellanca</dc:creator>
  <cp:keywords/>
  <dc:description/>
  <cp:lastModifiedBy>Paige Bellanca</cp:lastModifiedBy>
  <cp:revision>5</cp:revision>
  <dcterms:created xsi:type="dcterms:W3CDTF">2018-01-11T20:53:00Z</dcterms:created>
  <dcterms:modified xsi:type="dcterms:W3CDTF">2018-01-16T19:28:00Z</dcterms:modified>
</cp:coreProperties>
</file>