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53647" w14:textId="54CAF553" w:rsidR="00DD5E37" w:rsidRPr="00DD5E37" w:rsidRDefault="008A0C88" w:rsidP="00A562C7">
      <w:pPr>
        <w:jc w:val="right"/>
      </w:pPr>
      <w:bookmarkStart w:id="0" w:name="_GoBack"/>
      <w:bookmarkEnd w:id="0"/>
      <w:r>
        <w:t>December 7, 2017</w:t>
      </w:r>
    </w:p>
    <w:p w14:paraId="371FF904" w14:textId="77777777" w:rsidR="00DD5E37" w:rsidRDefault="00DD5E37">
      <w:pPr>
        <w:rPr>
          <w:b/>
        </w:rPr>
      </w:pPr>
    </w:p>
    <w:p w14:paraId="3B01E59C" w14:textId="7A62CE9A" w:rsidR="00193A28" w:rsidRPr="009F1EB1" w:rsidRDefault="009F1EB1">
      <w:pPr>
        <w:rPr>
          <w:b/>
        </w:rPr>
      </w:pPr>
      <w:r w:rsidRPr="009F1EB1">
        <w:rPr>
          <w:b/>
        </w:rPr>
        <w:t>Statement in Support of Prevention and Equity in th</w:t>
      </w:r>
      <w:r w:rsidR="001C39FD" w:rsidRPr="009F1EB1">
        <w:rPr>
          <w:b/>
        </w:rPr>
        <w:t xml:space="preserve">e Allocation of Revenues for the Youth </w:t>
      </w:r>
      <w:r w:rsidR="00687B19">
        <w:rPr>
          <w:b/>
        </w:rPr>
        <w:t xml:space="preserve">Education, </w:t>
      </w:r>
      <w:r w:rsidR="001C39FD" w:rsidRPr="009F1EB1">
        <w:rPr>
          <w:b/>
        </w:rPr>
        <w:t>Prevention, Early I</w:t>
      </w:r>
      <w:r w:rsidRPr="009F1EB1">
        <w:rPr>
          <w:b/>
        </w:rPr>
        <w:t>ntervention and Treatment Fund</w:t>
      </w:r>
    </w:p>
    <w:p w14:paraId="52D272DA" w14:textId="77777777" w:rsidR="001C39FD" w:rsidRDefault="001C39FD"/>
    <w:p w14:paraId="6E8D0596" w14:textId="35B3D047" w:rsidR="001C39FD" w:rsidRDefault="000061B6">
      <w:r>
        <w:t>The new revenue</w:t>
      </w:r>
      <w:r w:rsidR="009F1EB1">
        <w:t>s</w:t>
      </w:r>
      <w:r>
        <w:t xml:space="preserve"> </w:t>
      </w:r>
      <w:r w:rsidR="009F1EB1">
        <w:t>generated by</w:t>
      </w:r>
      <w:r>
        <w:t xml:space="preserve"> </w:t>
      </w:r>
      <w:r w:rsidR="00B379C5">
        <w:t>state marijuana taxes represent</w:t>
      </w:r>
      <w:r>
        <w:t xml:space="preserve"> a unique opportunity to </w:t>
      </w:r>
      <w:r w:rsidR="00B379C5">
        <w:t>invest</w:t>
      </w:r>
      <w:r>
        <w:t xml:space="preserve"> in </w:t>
      </w:r>
      <w:r w:rsidR="00A562C7">
        <w:t xml:space="preserve">community-based </w:t>
      </w:r>
      <w:r>
        <w:t xml:space="preserve">prevention and public health, and to </w:t>
      </w:r>
      <w:r w:rsidR="00B379C5">
        <w:t>do so</w:t>
      </w:r>
      <w:r>
        <w:t xml:space="preserve"> through </w:t>
      </w:r>
      <w:r w:rsidR="00B379C5">
        <w:t>the lens of racial and health</w:t>
      </w:r>
      <w:r>
        <w:t xml:space="preserve"> equity. </w:t>
      </w:r>
      <w:r w:rsidR="009C27DD">
        <w:t xml:space="preserve">Investments should be </w:t>
      </w:r>
      <w:r w:rsidR="00987F63">
        <w:t>focused</w:t>
      </w:r>
      <w:r w:rsidR="009C27DD">
        <w:t xml:space="preserve"> </w:t>
      </w:r>
      <w:r w:rsidR="00987F63">
        <w:t>on</w:t>
      </w:r>
      <w:r w:rsidR="009C27DD">
        <w:t xml:space="preserve"> preventative, community-based strategies that address the underlying conditions that </w:t>
      </w:r>
      <w:r w:rsidR="007C65A5">
        <w:t>lead to</w:t>
      </w:r>
      <w:r w:rsidR="00C45D57">
        <w:t xml:space="preserve"> substance abuse, such as</w:t>
      </w:r>
      <w:r w:rsidR="009C27DD">
        <w:t xml:space="preserve"> toxic stress, trauma, stigma and mental illness. </w:t>
      </w:r>
    </w:p>
    <w:p w14:paraId="4DCD043F" w14:textId="77777777" w:rsidR="00563DC0" w:rsidRDefault="00563DC0"/>
    <w:p w14:paraId="72494916" w14:textId="6496C32E" w:rsidR="00BE3ACE" w:rsidRDefault="00BE3ACE" w:rsidP="00BE3ACE">
      <w:r>
        <w:t xml:space="preserve">With the emergence of a fully legal marijuana industry, we are witnessing the diversification of marijuana products, </w:t>
      </w:r>
      <w:r w:rsidR="0046445C">
        <w:t>an escalation</w:t>
      </w:r>
      <w:r>
        <w:t xml:space="preserve"> in marijuana advertising and the corporatization of the industry. </w:t>
      </w:r>
      <w:r w:rsidR="0046445C">
        <w:t>As a result</w:t>
      </w:r>
      <w:r>
        <w:t xml:space="preserve">, we </w:t>
      </w:r>
      <w:r w:rsidR="0046445C">
        <w:t>will</w:t>
      </w:r>
      <w:r>
        <w:t xml:space="preserve"> see marijuana use grow over time and </w:t>
      </w:r>
      <w:r w:rsidR="00B379C5">
        <w:t xml:space="preserve">an increase in </w:t>
      </w:r>
      <w:r>
        <w:t xml:space="preserve">rates of problem use and addiction.  Colorado, where marijuana has been legal since 2012, has experienced growth in usage rates among young people and is now the number one state in the nation for marijuana use. </w:t>
      </w:r>
      <w:r w:rsidR="00891159">
        <w:rPr>
          <w:rStyle w:val="EndnoteReference"/>
        </w:rPr>
        <w:endnoteReference w:id="1"/>
      </w:r>
    </w:p>
    <w:p w14:paraId="1B10E5B6" w14:textId="77777777" w:rsidR="00BE3ACE" w:rsidRDefault="00BE3ACE"/>
    <w:p w14:paraId="6BAE4B12" w14:textId="136BF5A8" w:rsidR="00BE3ACE" w:rsidRDefault="00563DC0">
      <w:r>
        <w:t>Marijuana use has been shown to have numerous negative health impacts, particularly for young people</w:t>
      </w:r>
      <w:r w:rsidR="000F76E6">
        <w:t xml:space="preserve"> and for pregnant women</w:t>
      </w:r>
      <w:r>
        <w:t xml:space="preserve">. </w:t>
      </w:r>
      <w:r w:rsidR="009F1EB1">
        <w:t xml:space="preserve">Research has shown that the younger one begins using marijuana, the greater the risk for problem use and addiction. </w:t>
      </w:r>
      <w:r w:rsidR="00A43BEF">
        <w:rPr>
          <w:rStyle w:val="EndnoteReference"/>
        </w:rPr>
        <w:endnoteReference w:id="2"/>
      </w:r>
      <w:r w:rsidR="00A43BEF">
        <w:t xml:space="preserve"> </w:t>
      </w:r>
      <w:r w:rsidR="00BE3ACE">
        <w:t xml:space="preserve">The most effective way to address the adverse health effects of marijuana use is to reduce the number of people who </w:t>
      </w:r>
      <w:r w:rsidR="00891159">
        <w:t>start using marijuana recreationally at a young age</w:t>
      </w:r>
      <w:r w:rsidR="005A6BB1">
        <w:t xml:space="preserve"> and to discourage the use of marijuana during critical periods like </w:t>
      </w:r>
      <w:r w:rsidR="008A0C88">
        <w:t>pregnancy.</w:t>
      </w:r>
    </w:p>
    <w:p w14:paraId="72CE745A" w14:textId="77777777" w:rsidR="00BE3ACE" w:rsidRDefault="00BE3ACE"/>
    <w:p w14:paraId="3BD3710C" w14:textId="4AF2A10F" w:rsidR="009F1EB1" w:rsidRDefault="00E22F80">
      <w:r w:rsidRPr="00E22F80">
        <w:rPr>
          <w:b/>
        </w:rPr>
        <w:t>Equity:</w:t>
      </w:r>
      <w:r>
        <w:rPr>
          <w:b/>
        </w:rPr>
        <w:t xml:space="preserve"> </w:t>
      </w:r>
      <w:r w:rsidR="00A562C7">
        <w:t>Communities of color have been disproportionately</w:t>
      </w:r>
      <w:r w:rsidR="00891159">
        <w:t xml:space="preserve"> impacted by marijuana policy and under legalization will be particularly at risk. For</w:t>
      </w:r>
      <w:r w:rsidR="00A43BEF">
        <w:t xml:space="preserve"> decades </w:t>
      </w:r>
      <w:r w:rsidR="00F57291">
        <w:t xml:space="preserve">Black, Latino, immigrant and LGBT </w:t>
      </w:r>
      <w:r w:rsidR="00A43BEF">
        <w:t xml:space="preserve">communities suffered disproportionate arrests and convictions for marijuana-related </w:t>
      </w:r>
      <w:r w:rsidR="00F57291">
        <w:t xml:space="preserve">and other drug </w:t>
      </w:r>
      <w:r w:rsidR="00A43BEF">
        <w:t xml:space="preserve">crimes. </w:t>
      </w:r>
      <w:r w:rsidR="00A562C7">
        <w:t xml:space="preserve">As a result, families were driven into poverty, children were separated from parents, and adults faced huge obstacles in gaining employment, housing and education as a result of felony convictions. </w:t>
      </w:r>
      <w:r w:rsidR="00891159">
        <w:t xml:space="preserve">In many communities marijuana businesses and marijuana ads are disproportionately located in low-income communities and communities of color. </w:t>
      </w:r>
      <w:r w:rsidR="00B37FEF">
        <w:t>Certain</w:t>
      </w:r>
      <w:r w:rsidR="00EF02A8">
        <w:t xml:space="preserve"> vulnerable populations of young people suffer disproportionate rates of marijuana and substance abuse, including LGBT, foster youth and homeless youth.</w:t>
      </w:r>
    </w:p>
    <w:p w14:paraId="6D28D5E1" w14:textId="77777777" w:rsidR="00563DC0" w:rsidRDefault="00563DC0"/>
    <w:p w14:paraId="633BF0C1" w14:textId="2983DE19" w:rsidR="00BE3ACE" w:rsidRDefault="00E22F80" w:rsidP="00891159">
      <w:r w:rsidRPr="00342748">
        <w:rPr>
          <w:b/>
        </w:rPr>
        <w:t>Prevention:</w:t>
      </w:r>
      <w:r>
        <w:t xml:space="preserve"> </w:t>
      </w:r>
      <w:r w:rsidR="00563DC0">
        <w:t>The only way to reduce marijuana use over time is through a robust upstream investment in prevention</w:t>
      </w:r>
      <w:r w:rsidR="00BE3ACE">
        <w:t xml:space="preserve"> and early intervention</w:t>
      </w:r>
      <w:r w:rsidR="00563DC0">
        <w:t xml:space="preserve">. </w:t>
      </w:r>
      <w:r w:rsidR="000E3287">
        <w:t xml:space="preserve">Community environments – including the physical, social, and economic environment – have a greater influence on health behaviors and outcomes than </w:t>
      </w:r>
      <w:r w:rsidR="004043E3">
        <w:t xml:space="preserve">do </w:t>
      </w:r>
      <w:r w:rsidR="000E3287">
        <w:t>health care or genetics.</w:t>
      </w:r>
      <w:r w:rsidR="003F3E27">
        <w:rPr>
          <w:rStyle w:val="EndnoteReference"/>
        </w:rPr>
        <w:endnoteReference w:id="3"/>
      </w:r>
      <w:r w:rsidR="000E3287">
        <w:t xml:space="preserve"> Investments that </w:t>
      </w:r>
      <w:r w:rsidR="004043E3">
        <w:t>improve these community conditions</w:t>
      </w:r>
      <w:r w:rsidR="000E3287">
        <w:t xml:space="preserve"> can foster health and safety in the first </w:t>
      </w:r>
      <w:proofErr w:type="gramStart"/>
      <w:r w:rsidR="000E3287">
        <w:t>place,</w:t>
      </w:r>
      <w:proofErr w:type="gramEnd"/>
      <w:r w:rsidR="000E3287">
        <w:t xml:space="preserve"> reducing the need for treatment a</w:t>
      </w:r>
      <w:r w:rsidR="005025D3">
        <w:t>nd building resilience in neighborhoods</w:t>
      </w:r>
      <w:r w:rsidR="000E3287">
        <w:t xml:space="preserve"> that have been most impacted by marijuana criminalization.</w:t>
      </w:r>
      <w:r w:rsidR="005025D3">
        <w:t xml:space="preserve"> </w:t>
      </w:r>
      <w:r w:rsidR="000E3287">
        <w:t xml:space="preserve"> </w:t>
      </w:r>
      <w:r w:rsidR="000F76E6">
        <w:t>To strengthen the prevention infrastructure, we must invest</w:t>
      </w:r>
      <w:r w:rsidR="00B6693D">
        <w:t xml:space="preserve"> early</w:t>
      </w:r>
      <w:r w:rsidR="000F76E6">
        <w:t xml:space="preserve"> in families with very young children,</w:t>
      </w:r>
      <w:r w:rsidR="00B6693D">
        <w:t xml:space="preserve"> as strong families create resilience and protect against substance </w:t>
      </w:r>
      <w:r w:rsidR="00B6693D">
        <w:lastRenderedPageBreak/>
        <w:t xml:space="preserve">misuse. </w:t>
      </w:r>
      <w:r w:rsidR="000F76E6">
        <w:t xml:space="preserve">  </w:t>
      </w:r>
      <w:r w:rsidR="0046445C">
        <w:t>The</w:t>
      </w:r>
      <w:r w:rsidR="00563DC0">
        <w:t xml:space="preserve"> state must</w:t>
      </w:r>
      <w:r w:rsidR="005025D3">
        <w:t xml:space="preserve"> </w:t>
      </w:r>
      <w:r w:rsidR="00563DC0">
        <w:t xml:space="preserve">act to educate young people and families about the harms of marijuana use and must provide </w:t>
      </w:r>
      <w:r w:rsidR="00B379C5">
        <w:t>supports</w:t>
      </w:r>
      <w:r w:rsidR="00563DC0">
        <w:t xml:space="preserve"> </w:t>
      </w:r>
      <w:r w:rsidR="00BE3ACE">
        <w:t>for</w:t>
      </w:r>
      <w:r w:rsidR="00563DC0">
        <w:t xml:space="preserve"> children and youth</w:t>
      </w:r>
      <w:r w:rsidR="00B379C5">
        <w:t xml:space="preserve"> that reduce the need for, and the attraction to, marijuana and other drugs. </w:t>
      </w:r>
      <w:r w:rsidR="00B6693D">
        <w:t>California has an existing infrastr</w:t>
      </w:r>
      <w:r w:rsidR="00861514">
        <w:t xml:space="preserve">ucture of supports for children, </w:t>
      </w:r>
      <w:r w:rsidR="00B6693D">
        <w:t>young people</w:t>
      </w:r>
      <w:r w:rsidR="00861514">
        <w:t xml:space="preserve"> and families</w:t>
      </w:r>
      <w:r w:rsidR="00B6693D">
        <w:t xml:space="preserve"> built over time through schools and community-based organizations that needs to be strengthened. </w:t>
      </w:r>
    </w:p>
    <w:p w14:paraId="5E04CE6A" w14:textId="77777777" w:rsidR="00BF25C8" w:rsidRDefault="00BF25C8" w:rsidP="00891159"/>
    <w:p w14:paraId="796F97BD" w14:textId="40369C97" w:rsidR="00BF25C8" w:rsidRDefault="00DD32D6" w:rsidP="00891159">
      <w:pPr>
        <w:rPr>
          <w:rFonts w:ascii="Cambria" w:hAnsi="Cambria" w:cs="Times New Roman"/>
        </w:rPr>
      </w:pPr>
      <w:r>
        <w:rPr>
          <w:rFonts w:ascii="Cambria" w:hAnsi="Cambria" w:cs="Times New Roman"/>
        </w:rPr>
        <w:t>Our state</w:t>
      </w:r>
      <w:r w:rsidR="00856593" w:rsidRPr="009749DE">
        <w:rPr>
          <w:rFonts w:ascii="Cambria" w:hAnsi="Cambria" w:cs="Times New Roman"/>
        </w:rPr>
        <w:t xml:space="preserve"> has already demonstrated the efficacy of prevention approaches </w:t>
      </w:r>
      <w:r w:rsidR="004043E3" w:rsidRPr="009749DE">
        <w:rPr>
          <w:rFonts w:ascii="Cambria" w:hAnsi="Cambria" w:cs="Times New Roman"/>
        </w:rPr>
        <w:t xml:space="preserve">to address other health and safety challenges, including alcohol and tobacco prevention, childhood injury prevention, and communitywide violence prevention. For example, </w:t>
      </w:r>
      <w:r w:rsidR="00856593" w:rsidRPr="009749DE">
        <w:rPr>
          <w:rFonts w:ascii="Cambria" w:hAnsi="Cambria" w:cs="Times New Roman"/>
        </w:rPr>
        <w:t>Proposition 99</w:t>
      </w:r>
      <w:r w:rsidR="004043E3" w:rsidRPr="009749DE">
        <w:rPr>
          <w:rFonts w:ascii="Cambria" w:hAnsi="Cambria" w:cs="Times New Roman"/>
        </w:rPr>
        <w:t xml:space="preserve"> – the states quarter-per-pack tobacco tax – dedicated a portion of funds to the California Tobacco Control Prog</w:t>
      </w:r>
      <w:r w:rsidR="00406ABF" w:rsidRPr="009749DE">
        <w:rPr>
          <w:rFonts w:ascii="Cambria" w:hAnsi="Cambria" w:cs="Times New Roman"/>
        </w:rPr>
        <w:t>r</w:t>
      </w:r>
      <w:r w:rsidR="004043E3" w:rsidRPr="009749DE">
        <w:rPr>
          <w:rFonts w:ascii="Cambria" w:hAnsi="Cambria" w:cs="Times New Roman"/>
        </w:rPr>
        <w:t xml:space="preserve">am </w:t>
      </w:r>
      <w:r w:rsidR="00856593" w:rsidRPr="009749DE">
        <w:rPr>
          <w:rFonts w:ascii="Cambria" w:hAnsi="Cambria" w:cs="Times New Roman"/>
        </w:rPr>
        <w:t>to advance prevention policies and practices in communities across the state</w:t>
      </w:r>
      <w:r w:rsidR="008A0C88">
        <w:rPr>
          <w:rFonts w:ascii="Cambria" w:hAnsi="Cambria" w:cs="Times New Roman"/>
        </w:rPr>
        <w:t xml:space="preserve">. At the end of this statement, we provide some additional information on lessons learned from California’s </w:t>
      </w:r>
      <w:r>
        <w:rPr>
          <w:rFonts w:ascii="Cambria" w:hAnsi="Cambria" w:cs="Times New Roman"/>
        </w:rPr>
        <w:t>remarkably successful</w:t>
      </w:r>
      <w:r w:rsidR="008A0C88">
        <w:rPr>
          <w:rFonts w:ascii="Cambria" w:hAnsi="Cambria" w:cs="Times New Roman"/>
        </w:rPr>
        <w:t xml:space="preserve"> efforts to reduce tobacco use.</w:t>
      </w:r>
    </w:p>
    <w:p w14:paraId="560C5114" w14:textId="77777777" w:rsidR="006E470C" w:rsidRPr="00E22F80" w:rsidRDefault="006E470C" w:rsidP="00891159"/>
    <w:p w14:paraId="78B87AA3" w14:textId="158DA049" w:rsidR="003F3E27" w:rsidRDefault="003F3E27" w:rsidP="003F3E27">
      <w:r>
        <w:t>T</w:t>
      </w:r>
      <w:r w:rsidR="00BE3ACE">
        <w:t xml:space="preserve">reatment by itself will </w:t>
      </w:r>
      <w:proofErr w:type="gramStart"/>
      <w:r w:rsidR="00BE3ACE">
        <w:t>have</w:t>
      </w:r>
      <w:proofErr w:type="gramEnd"/>
      <w:r w:rsidR="00BE3ACE">
        <w:t xml:space="preserve"> little impact on growing rates of marijuana use</w:t>
      </w:r>
      <w:r w:rsidR="00B74C71">
        <w:t xml:space="preserve"> nor will it address underlying inequities that contribute to </w:t>
      </w:r>
      <w:r>
        <w:t xml:space="preserve">toxic stress, trauma, </w:t>
      </w:r>
      <w:r w:rsidR="001A0F2C">
        <w:t xml:space="preserve">stigma, </w:t>
      </w:r>
      <w:r w:rsidR="00B74C71">
        <w:t>mental illness, and substance abuse</w:t>
      </w:r>
      <w:r w:rsidR="00BE3ACE">
        <w:t xml:space="preserve">. </w:t>
      </w:r>
      <w:r w:rsidR="00BE3ACE" w:rsidRPr="00DD32D6">
        <w:rPr>
          <w:b/>
        </w:rPr>
        <w:t>For this reason, tax revenues should be significantly weighted toward prevention and early intervention.</w:t>
      </w:r>
      <w:r w:rsidR="00BE3ACE">
        <w:t xml:space="preserve"> Without a significant investment in prevention, the marijuana industry will generate more and more problem users and the demand for treatment will grow.</w:t>
      </w:r>
      <w:r>
        <w:t xml:space="preserve"> Using evidence-informed prevention approaches, California can seize this opportunity to create an environment that reduces access to marijuana and that, over time, </w:t>
      </w:r>
      <w:proofErr w:type="spellStart"/>
      <w:r>
        <w:t>denormalizes</w:t>
      </w:r>
      <w:proofErr w:type="spellEnd"/>
      <w:r>
        <w:t xml:space="preserve"> marijuana use.  </w:t>
      </w:r>
      <w:r w:rsidRPr="0046445C">
        <w:rPr>
          <w:b/>
        </w:rPr>
        <w:t>Investments should be concent</w:t>
      </w:r>
      <w:r w:rsidR="00332E83" w:rsidRPr="0046445C">
        <w:rPr>
          <w:b/>
        </w:rPr>
        <w:t xml:space="preserve">rated in low-income communities, </w:t>
      </w:r>
      <w:r w:rsidRPr="0046445C">
        <w:rPr>
          <w:b/>
        </w:rPr>
        <w:t>communities of color</w:t>
      </w:r>
      <w:r w:rsidR="00332E83" w:rsidRPr="0046445C">
        <w:rPr>
          <w:b/>
        </w:rPr>
        <w:t xml:space="preserve"> and other communities</w:t>
      </w:r>
      <w:r w:rsidRPr="0046445C">
        <w:rPr>
          <w:b/>
        </w:rPr>
        <w:t xml:space="preserve"> that suffered most under the War on Drugs and that typically have a weaker infrastructure of supports for children and youth.</w:t>
      </w:r>
      <w:r>
        <w:t xml:space="preserve"> </w:t>
      </w:r>
    </w:p>
    <w:p w14:paraId="51752EDA" w14:textId="77777777" w:rsidR="00687B19" w:rsidRDefault="00687B19" w:rsidP="00BE3ACE"/>
    <w:p w14:paraId="17933E7C" w14:textId="0A7BC58E" w:rsidR="00687B19" w:rsidRDefault="00E578AB" w:rsidP="00BE3ACE">
      <w:r w:rsidRPr="00342748">
        <w:rPr>
          <w:b/>
        </w:rPr>
        <w:t>More Research Needed:</w:t>
      </w:r>
      <w:r>
        <w:t xml:space="preserve"> </w:t>
      </w:r>
      <w:r w:rsidR="00687B19">
        <w:t xml:space="preserve">We recommend that rather than deciding on an allocation formula at this time, the Department of Health Care Services, </w:t>
      </w:r>
      <w:r w:rsidR="00A562C7">
        <w:t xml:space="preserve">the Department of Public Health, </w:t>
      </w:r>
      <w:r w:rsidR="00687B19">
        <w:t xml:space="preserve">the Department of Education </w:t>
      </w:r>
      <w:r w:rsidR="00A562C7">
        <w:t xml:space="preserve">and community stakeholders and partners </w:t>
      </w:r>
      <w:r w:rsidR="00687B19">
        <w:t xml:space="preserve">undertake a robust planning process to determine the most effective investments in the areas of education, prevention, early intervention and treatment. </w:t>
      </w:r>
      <w:r w:rsidR="003F3E27">
        <w:t xml:space="preserve">This planning process must be informed by the </w:t>
      </w:r>
      <w:r>
        <w:t xml:space="preserve">evidence about what works to prevent disease and addiction, and the </w:t>
      </w:r>
      <w:r w:rsidR="003F3E27">
        <w:t xml:space="preserve">perspectives </w:t>
      </w:r>
      <w:r w:rsidR="009749DE">
        <w:t xml:space="preserve">and experiences </w:t>
      </w:r>
      <w:r w:rsidR="003F3E27">
        <w:t>of</w:t>
      </w:r>
      <w:r w:rsidR="009749DE">
        <w:t xml:space="preserve"> adults and </w:t>
      </w:r>
      <w:r w:rsidR="003F3E27">
        <w:t>young people from the</w:t>
      </w:r>
      <w:r w:rsidR="00F57291">
        <w:t xml:space="preserve"> Black, </w:t>
      </w:r>
      <w:r w:rsidR="00B379C5">
        <w:t>Latino</w:t>
      </w:r>
      <w:r w:rsidR="00F57291">
        <w:t>, immigrant and LGBT</w:t>
      </w:r>
      <w:r w:rsidR="00B379C5">
        <w:t xml:space="preserve"> communities tha</w:t>
      </w:r>
      <w:r w:rsidR="00AD58F4">
        <w:t xml:space="preserve">t have been disproportionately </w:t>
      </w:r>
      <w:r w:rsidR="00B379C5">
        <w:t xml:space="preserve">impacted by past drug policies. </w:t>
      </w:r>
    </w:p>
    <w:p w14:paraId="2F897AD5" w14:textId="77777777" w:rsidR="00342748" w:rsidRDefault="00342748" w:rsidP="00BE3ACE"/>
    <w:p w14:paraId="37B18782" w14:textId="55CFF85C" w:rsidR="00342748" w:rsidRDefault="00EF02A8" w:rsidP="00342748">
      <w:pPr>
        <w:pStyle w:val="Default"/>
        <w:rPr>
          <w:rFonts w:asciiTheme="minorHAnsi" w:hAnsiTheme="minorHAnsi" w:cs="ZapfHumanist601BT-Roman"/>
        </w:rPr>
      </w:pPr>
      <w:r>
        <w:rPr>
          <w:rFonts w:asciiTheme="minorHAnsi" w:hAnsiTheme="minorHAnsi" w:cs="ZapfHumanist601BT-Roman"/>
        </w:rPr>
        <w:t>---------------------------------------------------------------------------------------</w:t>
      </w:r>
    </w:p>
    <w:p w14:paraId="2677C0CF" w14:textId="556EA763" w:rsidR="00EF02A8" w:rsidRPr="00861514" w:rsidRDefault="00EF02A8" w:rsidP="00342748">
      <w:pPr>
        <w:pStyle w:val="Default"/>
        <w:rPr>
          <w:rFonts w:asciiTheme="minorHAnsi" w:hAnsiTheme="minorHAnsi" w:cs="ZapfHumanist601BT-Roman"/>
          <w:b/>
          <w:sz w:val="20"/>
          <w:szCs w:val="20"/>
        </w:rPr>
      </w:pPr>
      <w:r w:rsidRPr="00861514">
        <w:rPr>
          <w:rFonts w:asciiTheme="minorHAnsi" w:hAnsiTheme="minorHAnsi" w:cs="ZapfHumanist601BT-Roman"/>
          <w:b/>
          <w:sz w:val="20"/>
          <w:szCs w:val="20"/>
        </w:rPr>
        <w:t>Lessons from Tobacco Control</w:t>
      </w:r>
    </w:p>
    <w:p w14:paraId="5B2C8171" w14:textId="77777777" w:rsidR="00EF02A8" w:rsidRPr="00861514" w:rsidRDefault="00EF02A8" w:rsidP="00342748">
      <w:pPr>
        <w:pStyle w:val="Default"/>
        <w:rPr>
          <w:rFonts w:asciiTheme="minorHAnsi" w:hAnsiTheme="minorHAnsi" w:cs="ZapfHumanist601BT-Roman"/>
          <w:sz w:val="20"/>
          <w:szCs w:val="20"/>
        </w:rPr>
      </w:pPr>
    </w:p>
    <w:p w14:paraId="73806037" w14:textId="77777777" w:rsidR="00342748" w:rsidRPr="00861514" w:rsidRDefault="00342748" w:rsidP="00EF02A8">
      <w:pPr>
        <w:pStyle w:val="Default"/>
        <w:rPr>
          <w:rFonts w:ascii="Cambria" w:hAnsi="Cambria" w:cs="ZapfHumanist601BT-Roman"/>
          <w:sz w:val="20"/>
          <w:szCs w:val="20"/>
        </w:rPr>
      </w:pPr>
      <w:r w:rsidRPr="00861514">
        <w:rPr>
          <w:rFonts w:ascii="Cambria" w:hAnsi="Cambria" w:cs="ZapfHumanist601BT-Roman"/>
          <w:sz w:val="20"/>
          <w:szCs w:val="20"/>
        </w:rPr>
        <w:t xml:space="preserve">The </w:t>
      </w:r>
      <w:r w:rsidRPr="00861514">
        <w:rPr>
          <w:rFonts w:ascii="Cambria" w:hAnsi="Cambria"/>
          <w:sz w:val="20"/>
          <w:szCs w:val="20"/>
        </w:rPr>
        <w:t>2015-17 Master Plan of the Tobacco Education and Research Oversight Committee for California</w:t>
      </w:r>
      <w:r w:rsidRPr="00861514">
        <w:rPr>
          <w:rStyle w:val="EndnoteReference"/>
          <w:rFonts w:ascii="Cambria" w:hAnsi="Cambria"/>
          <w:sz w:val="20"/>
          <w:szCs w:val="20"/>
        </w:rPr>
        <w:endnoteReference w:id="4"/>
      </w:r>
      <w:r w:rsidRPr="00861514">
        <w:rPr>
          <w:rFonts w:ascii="Cambria" w:hAnsi="Cambria"/>
          <w:sz w:val="20"/>
          <w:szCs w:val="20"/>
        </w:rPr>
        <w:t xml:space="preserve"> reports that </w:t>
      </w:r>
      <w:r w:rsidRPr="00861514">
        <w:rPr>
          <w:rFonts w:ascii="Cambria" w:hAnsi="Cambria" w:cs="ZapfHumanist601BT-Roman"/>
          <w:sz w:val="20"/>
          <w:szCs w:val="20"/>
        </w:rPr>
        <w:t>California was the first state to adopt a comprehensive tobacco control program in the U.S., which inspired tobacco control advocates throughout the country and the world. California has substantially reduced tobacco use:</w:t>
      </w:r>
    </w:p>
    <w:p w14:paraId="1EF825C1" w14:textId="77777777" w:rsidR="00342748" w:rsidRPr="00861514" w:rsidRDefault="00342748" w:rsidP="00EF02A8">
      <w:pPr>
        <w:pStyle w:val="ListParagraph"/>
        <w:numPr>
          <w:ilvl w:val="0"/>
          <w:numId w:val="2"/>
        </w:numPr>
        <w:autoSpaceDE w:val="0"/>
        <w:autoSpaceDN w:val="0"/>
        <w:adjustRightInd w:val="0"/>
        <w:rPr>
          <w:rFonts w:ascii="Cambria" w:hAnsi="Cambria" w:cs="ZapfHumanist601BT-Roman"/>
          <w:color w:val="000000"/>
          <w:sz w:val="20"/>
          <w:szCs w:val="20"/>
        </w:rPr>
      </w:pPr>
      <w:r w:rsidRPr="00861514">
        <w:rPr>
          <w:rFonts w:ascii="Cambria" w:hAnsi="Cambria" w:cs="ZapfHumanist601BT-Roman"/>
          <w:color w:val="000000"/>
          <w:sz w:val="20"/>
          <w:szCs w:val="20"/>
        </w:rPr>
        <w:t>Reduced cigarette consumption by 65 percent from 1988 to 2013;</w:t>
      </w:r>
      <w:r w:rsidRPr="00861514">
        <w:rPr>
          <w:rStyle w:val="EndnoteReference"/>
          <w:rFonts w:ascii="Cambria" w:hAnsi="Cambria" w:cs="ZapfHumanist601BT-Roman"/>
          <w:color w:val="000000"/>
          <w:sz w:val="20"/>
          <w:szCs w:val="20"/>
        </w:rPr>
        <w:endnoteReference w:id="5"/>
      </w:r>
    </w:p>
    <w:p w14:paraId="30CD15AF" w14:textId="77777777" w:rsidR="00342748" w:rsidRPr="00861514" w:rsidRDefault="00342748" w:rsidP="00EF02A8">
      <w:pPr>
        <w:pStyle w:val="ListParagraph"/>
        <w:numPr>
          <w:ilvl w:val="0"/>
          <w:numId w:val="2"/>
        </w:numPr>
        <w:autoSpaceDE w:val="0"/>
        <w:autoSpaceDN w:val="0"/>
        <w:adjustRightInd w:val="0"/>
        <w:rPr>
          <w:rFonts w:ascii="Cambria" w:hAnsi="Cambria" w:cs="ZapfHumanist601BT-Roman"/>
          <w:color w:val="000000"/>
          <w:sz w:val="20"/>
          <w:szCs w:val="20"/>
        </w:rPr>
      </w:pPr>
      <w:r w:rsidRPr="00861514">
        <w:rPr>
          <w:rFonts w:ascii="Cambria" w:hAnsi="Cambria" w:cs="ZapfHumanist601BT-Roman"/>
          <w:color w:val="000000"/>
          <w:sz w:val="20"/>
          <w:szCs w:val="20"/>
        </w:rPr>
        <w:t>Decreased adult smoking prevalence by 51percent from 1988 to 2013;</w:t>
      </w:r>
      <w:r w:rsidRPr="00861514">
        <w:rPr>
          <w:rStyle w:val="EndnoteReference"/>
          <w:rFonts w:ascii="Cambria" w:hAnsi="Cambria" w:cs="ZapfHumanist601BT-Roman"/>
          <w:color w:val="000000"/>
          <w:sz w:val="20"/>
          <w:szCs w:val="20"/>
        </w:rPr>
        <w:endnoteReference w:id="6"/>
      </w:r>
    </w:p>
    <w:p w14:paraId="46C5B9BC" w14:textId="77777777" w:rsidR="00342748" w:rsidRPr="00861514" w:rsidRDefault="00342748" w:rsidP="00EF02A8">
      <w:pPr>
        <w:pStyle w:val="ListParagraph"/>
        <w:numPr>
          <w:ilvl w:val="0"/>
          <w:numId w:val="2"/>
        </w:numPr>
        <w:autoSpaceDE w:val="0"/>
        <w:autoSpaceDN w:val="0"/>
        <w:adjustRightInd w:val="0"/>
        <w:rPr>
          <w:rFonts w:ascii="Cambria" w:hAnsi="Cambria" w:cs="ZapfHumanist601BT-Roman"/>
          <w:color w:val="000000"/>
          <w:sz w:val="20"/>
          <w:szCs w:val="20"/>
        </w:rPr>
      </w:pPr>
      <w:r w:rsidRPr="00861514">
        <w:rPr>
          <w:rFonts w:ascii="Cambria" w:hAnsi="Cambria" w:cs="ZapfHumanist601BT-Roman"/>
          <w:color w:val="000000"/>
          <w:sz w:val="20"/>
          <w:szCs w:val="20"/>
        </w:rPr>
        <w:lastRenderedPageBreak/>
        <w:t>Decreased high school smoking prevalence by 51 percent from 2005 to 2012;</w:t>
      </w:r>
      <w:r w:rsidRPr="00861514">
        <w:rPr>
          <w:rStyle w:val="EndnoteReference"/>
          <w:rFonts w:ascii="Cambria" w:hAnsi="Cambria" w:cs="ZapfHumanist601BT-Roman"/>
          <w:color w:val="000000"/>
          <w:sz w:val="20"/>
          <w:szCs w:val="20"/>
        </w:rPr>
        <w:endnoteReference w:id="7"/>
      </w:r>
      <w:r w:rsidRPr="00861514">
        <w:rPr>
          <w:rFonts w:ascii="Cambria" w:hAnsi="Cambria"/>
          <w:color w:val="333333"/>
          <w:sz w:val="20"/>
          <w:szCs w:val="20"/>
          <w:vertAlign w:val="superscript"/>
        </w:rPr>
        <w:t>,</w:t>
      </w:r>
      <w:r w:rsidRPr="00861514">
        <w:rPr>
          <w:rFonts w:ascii="Cambria" w:hAnsi="Cambria" w:cs="ZapfHumanist601BT-Roman"/>
          <w:color w:val="000000"/>
          <w:sz w:val="20"/>
          <w:szCs w:val="20"/>
        </w:rPr>
        <w:t xml:space="preserve"> </w:t>
      </w:r>
      <w:r w:rsidRPr="00861514">
        <w:rPr>
          <w:rStyle w:val="EndnoteReference"/>
          <w:rFonts w:ascii="Cambria" w:hAnsi="Cambria" w:cs="ZapfHumanist601BT-Roman"/>
          <w:color w:val="000000"/>
          <w:sz w:val="20"/>
          <w:szCs w:val="20"/>
        </w:rPr>
        <w:endnoteReference w:id="8"/>
      </w:r>
    </w:p>
    <w:p w14:paraId="2A732F00" w14:textId="77777777" w:rsidR="00342748" w:rsidRPr="00861514" w:rsidRDefault="00342748" w:rsidP="00EF02A8">
      <w:pPr>
        <w:pStyle w:val="ListParagraph"/>
        <w:numPr>
          <w:ilvl w:val="0"/>
          <w:numId w:val="2"/>
        </w:numPr>
        <w:autoSpaceDE w:val="0"/>
        <w:autoSpaceDN w:val="0"/>
        <w:adjustRightInd w:val="0"/>
        <w:rPr>
          <w:rFonts w:ascii="Cambria" w:hAnsi="Cambria" w:cs="ZapfHumanist601BT-Roman"/>
          <w:color w:val="000000"/>
          <w:sz w:val="20"/>
          <w:szCs w:val="20"/>
        </w:rPr>
      </w:pPr>
      <w:r w:rsidRPr="00861514">
        <w:rPr>
          <w:rFonts w:ascii="Cambria" w:hAnsi="Cambria" w:cs="ZapfHumanist601BT-Roman"/>
          <w:color w:val="000000"/>
          <w:sz w:val="20"/>
          <w:szCs w:val="20"/>
        </w:rPr>
        <w:t>Decreased lung cancer rates three times faster in California than the rest of the U.S. from 1999 to 2010;</w:t>
      </w:r>
      <w:r w:rsidRPr="00861514">
        <w:rPr>
          <w:rStyle w:val="EndnoteReference"/>
          <w:rFonts w:ascii="Cambria" w:hAnsi="Cambria" w:cs="ZapfHumanist601BT-Roman"/>
          <w:color w:val="000000"/>
          <w:sz w:val="20"/>
          <w:szCs w:val="20"/>
        </w:rPr>
        <w:endnoteReference w:id="9"/>
      </w:r>
    </w:p>
    <w:p w14:paraId="1FDED457" w14:textId="77777777" w:rsidR="00342748" w:rsidRPr="00861514" w:rsidRDefault="00342748" w:rsidP="00EF02A8">
      <w:pPr>
        <w:pStyle w:val="ListParagraph"/>
        <w:numPr>
          <w:ilvl w:val="0"/>
          <w:numId w:val="2"/>
        </w:numPr>
        <w:autoSpaceDE w:val="0"/>
        <w:autoSpaceDN w:val="0"/>
        <w:adjustRightInd w:val="0"/>
        <w:rPr>
          <w:rFonts w:ascii="Cambria" w:hAnsi="Cambria" w:cs="ZapfHumanist601BT-Roman"/>
          <w:color w:val="000000"/>
          <w:sz w:val="20"/>
          <w:szCs w:val="20"/>
        </w:rPr>
      </w:pPr>
      <w:r w:rsidRPr="00861514">
        <w:rPr>
          <w:rFonts w:ascii="Cambria" w:hAnsi="Cambria" w:cs="ZapfHumanist601BT-Roman"/>
          <w:color w:val="000000"/>
          <w:sz w:val="20"/>
          <w:szCs w:val="20"/>
        </w:rPr>
        <w:t>Reduced ischemic heart disease mortality by 22 percent and emphysema mortality by 37 percent from 1999 to 2010;</w:t>
      </w:r>
      <w:r w:rsidRPr="00861514">
        <w:rPr>
          <w:rStyle w:val="EndnoteReference"/>
          <w:rFonts w:ascii="Cambria" w:hAnsi="Cambria" w:cs="ZapfHumanist601BT-Roman"/>
          <w:color w:val="000000"/>
          <w:sz w:val="20"/>
          <w:szCs w:val="20"/>
        </w:rPr>
        <w:endnoteReference w:id="10"/>
      </w:r>
    </w:p>
    <w:p w14:paraId="4284D011" w14:textId="77777777" w:rsidR="00342748" w:rsidRPr="00861514" w:rsidRDefault="00342748" w:rsidP="00EF02A8">
      <w:pPr>
        <w:pStyle w:val="ListParagraph"/>
        <w:numPr>
          <w:ilvl w:val="0"/>
          <w:numId w:val="2"/>
        </w:numPr>
        <w:autoSpaceDE w:val="0"/>
        <w:autoSpaceDN w:val="0"/>
        <w:adjustRightInd w:val="0"/>
        <w:rPr>
          <w:rFonts w:ascii="Cambria" w:hAnsi="Cambria" w:cs="ZapfHumanist601BT-Roman"/>
          <w:color w:val="000000"/>
          <w:sz w:val="20"/>
          <w:szCs w:val="20"/>
        </w:rPr>
      </w:pPr>
      <w:r w:rsidRPr="00861514">
        <w:rPr>
          <w:rFonts w:ascii="Cambria" w:hAnsi="Cambria" w:cs="ZapfHumanist601BT-Roman"/>
          <w:color w:val="000000"/>
          <w:sz w:val="20"/>
          <w:szCs w:val="20"/>
        </w:rPr>
        <w:t>Saved over 1 million lives from 1989 to 2014;</w:t>
      </w:r>
      <w:r w:rsidRPr="00861514">
        <w:rPr>
          <w:rStyle w:val="EndnoteReference"/>
          <w:rFonts w:ascii="Cambria" w:hAnsi="Cambria" w:cs="ZapfHumanist601BT-Roman"/>
          <w:color w:val="000000"/>
          <w:sz w:val="20"/>
          <w:szCs w:val="20"/>
        </w:rPr>
        <w:endnoteReference w:id="11"/>
      </w:r>
      <w:r w:rsidRPr="00861514">
        <w:rPr>
          <w:rFonts w:ascii="Cambria" w:hAnsi="Cambria" w:cs="ZapfHumanist601BT-Roman"/>
          <w:color w:val="000000"/>
          <w:sz w:val="20"/>
          <w:szCs w:val="20"/>
        </w:rPr>
        <w:t xml:space="preserve"> and</w:t>
      </w:r>
    </w:p>
    <w:p w14:paraId="7C2EFA6F" w14:textId="77777777" w:rsidR="00342748" w:rsidRPr="00861514" w:rsidRDefault="00342748" w:rsidP="00EF02A8">
      <w:pPr>
        <w:pStyle w:val="ListParagraph"/>
        <w:numPr>
          <w:ilvl w:val="0"/>
          <w:numId w:val="2"/>
        </w:numPr>
        <w:autoSpaceDE w:val="0"/>
        <w:autoSpaceDN w:val="0"/>
        <w:adjustRightInd w:val="0"/>
        <w:rPr>
          <w:rFonts w:ascii="Cambria" w:hAnsi="Cambria" w:cs="ZapfHumanist601BT-Roman"/>
          <w:color w:val="000000"/>
          <w:sz w:val="20"/>
          <w:szCs w:val="20"/>
        </w:rPr>
      </w:pPr>
      <w:r w:rsidRPr="00861514">
        <w:rPr>
          <w:rFonts w:ascii="Cambria" w:hAnsi="Cambria" w:cs="ZapfHumanist601BT-Roman"/>
          <w:color w:val="000000"/>
          <w:sz w:val="20"/>
          <w:szCs w:val="20"/>
        </w:rPr>
        <w:t>Averted $134 billion in healthcare costs from1989 to 2008.</w:t>
      </w:r>
      <w:r w:rsidRPr="00861514">
        <w:rPr>
          <w:rStyle w:val="EndnoteReference"/>
          <w:rFonts w:ascii="Cambria" w:hAnsi="Cambria" w:cs="ZapfHumanist601BT-Roman"/>
          <w:color w:val="000000"/>
          <w:sz w:val="20"/>
          <w:szCs w:val="20"/>
        </w:rPr>
        <w:endnoteReference w:id="12"/>
      </w:r>
    </w:p>
    <w:p w14:paraId="314A617F" w14:textId="77777777" w:rsidR="00342748" w:rsidRPr="00861514" w:rsidRDefault="00342748" w:rsidP="00EF02A8">
      <w:pPr>
        <w:rPr>
          <w:rFonts w:ascii="Cambria" w:hAnsi="Cambria"/>
          <w:sz w:val="20"/>
          <w:szCs w:val="20"/>
        </w:rPr>
      </w:pPr>
    </w:p>
    <w:p w14:paraId="0D8B11A4" w14:textId="77777777" w:rsidR="00342748" w:rsidRPr="00861514" w:rsidRDefault="00342748" w:rsidP="00EF02A8">
      <w:pPr>
        <w:rPr>
          <w:rFonts w:ascii="Cambria" w:hAnsi="Cambria"/>
          <w:sz w:val="20"/>
          <w:szCs w:val="20"/>
        </w:rPr>
      </w:pPr>
      <w:r w:rsidRPr="00861514">
        <w:rPr>
          <w:rFonts w:ascii="Cambria" w:hAnsi="Cambria"/>
          <w:sz w:val="20"/>
          <w:szCs w:val="20"/>
        </w:rPr>
        <w:t>If California strives to achieve these same levels of prevention and impact in cannabis use as it does tobacco use– especially among underage youth – a blueprint for success is outlined in the Comprehensive Tobacco Control Policies</w:t>
      </w:r>
      <w:r w:rsidRPr="00861514">
        <w:rPr>
          <w:rStyle w:val="EndnoteReference"/>
          <w:rFonts w:ascii="Cambria" w:hAnsi="Cambria"/>
          <w:sz w:val="20"/>
          <w:szCs w:val="20"/>
        </w:rPr>
        <w:endnoteReference w:id="13"/>
      </w:r>
      <w:r w:rsidRPr="00861514">
        <w:rPr>
          <w:rFonts w:ascii="Cambria" w:hAnsi="Cambria"/>
          <w:sz w:val="20"/>
          <w:szCs w:val="20"/>
        </w:rPr>
        <w:t xml:space="preserve"> recommended by the Centers for Disease Control and Prevention (CDC).  CDC recommends five best practices to ensure holistic and effective tobacco use prevention:</w:t>
      </w:r>
    </w:p>
    <w:p w14:paraId="2B308584" w14:textId="77777777" w:rsidR="00342748" w:rsidRPr="00861514" w:rsidRDefault="00342748" w:rsidP="00EF02A8">
      <w:pPr>
        <w:rPr>
          <w:rFonts w:ascii="Cambria" w:hAnsi="Cambria"/>
          <w:sz w:val="20"/>
          <w:szCs w:val="20"/>
        </w:rPr>
      </w:pPr>
    </w:p>
    <w:p w14:paraId="7F7ED09F" w14:textId="6DC64DCE" w:rsidR="00342748" w:rsidRPr="00861514" w:rsidRDefault="00342748" w:rsidP="00EF02A8">
      <w:pPr>
        <w:pStyle w:val="ListParagraph"/>
        <w:numPr>
          <w:ilvl w:val="0"/>
          <w:numId w:val="3"/>
        </w:numPr>
        <w:rPr>
          <w:rFonts w:ascii="Cambria" w:hAnsi="Cambria"/>
          <w:sz w:val="20"/>
          <w:szCs w:val="20"/>
        </w:rPr>
      </w:pPr>
      <w:r w:rsidRPr="00861514">
        <w:rPr>
          <w:rFonts w:ascii="Cambria" w:hAnsi="Cambria"/>
          <w:sz w:val="20"/>
          <w:szCs w:val="20"/>
        </w:rPr>
        <w:t>State and Community Interventions</w:t>
      </w:r>
      <w:r w:rsidR="00861514" w:rsidRPr="00861514">
        <w:rPr>
          <w:rFonts w:ascii="Cambria" w:hAnsi="Cambria"/>
          <w:sz w:val="20"/>
          <w:szCs w:val="20"/>
        </w:rPr>
        <w:t>,</w:t>
      </w:r>
      <w:r w:rsidRPr="00861514">
        <w:rPr>
          <w:rFonts w:ascii="Cambria" w:hAnsi="Cambria"/>
          <w:sz w:val="20"/>
          <w:szCs w:val="20"/>
        </w:rPr>
        <w:t xml:space="preserve"> including supporting and implementing program and policy interventions that encourage and support individuals to make behavior choices consistent with tobacco-free norms, including polices to prevent initiation among youth and young adults.</w:t>
      </w:r>
    </w:p>
    <w:p w14:paraId="3F166264" w14:textId="77777777" w:rsidR="00342748" w:rsidRPr="00861514" w:rsidRDefault="00342748" w:rsidP="00EF02A8">
      <w:pPr>
        <w:pStyle w:val="ListParagraph"/>
        <w:rPr>
          <w:rFonts w:ascii="Cambria" w:hAnsi="Cambria"/>
          <w:sz w:val="20"/>
          <w:szCs w:val="20"/>
        </w:rPr>
      </w:pPr>
    </w:p>
    <w:p w14:paraId="58C96F44" w14:textId="77777777" w:rsidR="00342748" w:rsidRPr="00861514" w:rsidRDefault="00342748" w:rsidP="00EF02A8">
      <w:pPr>
        <w:pStyle w:val="ListParagraph"/>
        <w:numPr>
          <w:ilvl w:val="0"/>
          <w:numId w:val="3"/>
        </w:numPr>
        <w:rPr>
          <w:rFonts w:ascii="Cambria" w:hAnsi="Cambria"/>
          <w:sz w:val="20"/>
          <w:szCs w:val="20"/>
        </w:rPr>
      </w:pPr>
      <w:r w:rsidRPr="00861514">
        <w:rPr>
          <w:rFonts w:ascii="Cambria" w:hAnsi="Cambria"/>
          <w:sz w:val="20"/>
          <w:szCs w:val="20"/>
        </w:rPr>
        <w:t>Mass-Reach Health Communication Interventions that deliver strategic, culturally appropriate, and high-impact messages through sustained and adequately funded campaigns that are integrated into a comprehensive state tobacco control program.</w:t>
      </w:r>
    </w:p>
    <w:p w14:paraId="42BE74D8" w14:textId="77777777" w:rsidR="00342748" w:rsidRPr="00861514" w:rsidRDefault="00342748" w:rsidP="00EF02A8">
      <w:pPr>
        <w:pStyle w:val="ListParagraph"/>
        <w:rPr>
          <w:rFonts w:ascii="Cambria" w:hAnsi="Cambria"/>
          <w:sz w:val="20"/>
          <w:szCs w:val="20"/>
        </w:rPr>
      </w:pPr>
    </w:p>
    <w:p w14:paraId="1F9566F3" w14:textId="77777777" w:rsidR="00342748" w:rsidRPr="00861514" w:rsidRDefault="00342748" w:rsidP="00EF02A8">
      <w:pPr>
        <w:pStyle w:val="ListParagraph"/>
        <w:numPr>
          <w:ilvl w:val="0"/>
          <w:numId w:val="3"/>
        </w:numPr>
        <w:rPr>
          <w:rFonts w:ascii="Cambria" w:hAnsi="Cambria"/>
          <w:sz w:val="20"/>
          <w:szCs w:val="20"/>
        </w:rPr>
      </w:pPr>
      <w:r w:rsidRPr="00861514">
        <w:rPr>
          <w:rFonts w:ascii="Cambria" w:hAnsi="Cambria"/>
          <w:sz w:val="20"/>
          <w:szCs w:val="20"/>
        </w:rPr>
        <w:t xml:space="preserve">Cessation Interventions that promote health systems </w:t>
      </w:r>
      <w:proofErr w:type="gramStart"/>
      <w:r w:rsidRPr="00861514">
        <w:rPr>
          <w:rFonts w:ascii="Cambria" w:hAnsi="Cambria"/>
          <w:sz w:val="20"/>
          <w:szCs w:val="20"/>
        </w:rPr>
        <w:t>change,</w:t>
      </w:r>
      <w:proofErr w:type="gramEnd"/>
      <w:r w:rsidRPr="00861514">
        <w:rPr>
          <w:rFonts w:ascii="Cambria" w:hAnsi="Cambria"/>
          <w:sz w:val="20"/>
          <w:szCs w:val="20"/>
        </w:rPr>
        <w:t xml:space="preserve"> expand insurance coverage for proven cessation treatments, and support state </w:t>
      </w:r>
      <w:proofErr w:type="spellStart"/>
      <w:r w:rsidRPr="00861514">
        <w:rPr>
          <w:rFonts w:ascii="Cambria" w:hAnsi="Cambria"/>
          <w:sz w:val="20"/>
          <w:szCs w:val="20"/>
        </w:rPr>
        <w:t>quitline</w:t>
      </w:r>
      <w:proofErr w:type="spellEnd"/>
      <w:r w:rsidRPr="00861514">
        <w:rPr>
          <w:rFonts w:ascii="Cambria" w:hAnsi="Cambria"/>
          <w:sz w:val="20"/>
          <w:szCs w:val="20"/>
        </w:rPr>
        <w:t xml:space="preserve"> capacity.</w:t>
      </w:r>
    </w:p>
    <w:p w14:paraId="419B4202" w14:textId="77777777" w:rsidR="00342748" w:rsidRPr="00861514" w:rsidRDefault="00342748" w:rsidP="00EF02A8">
      <w:pPr>
        <w:pStyle w:val="ListParagraph"/>
        <w:rPr>
          <w:rFonts w:ascii="Cambria" w:hAnsi="Cambria"/>
          <w:sz w:val="20"/>
          <w:szCs w:val="20"/>
        </w:rPr>
      </w:pPr>
    </w:p>
    <w:p w14:paraId="7C40165F" w14:textId="77777777" w:rsidR="00342748" w:rsidRPr="00861514" w:rsidRDefault="00342748" w:rsidP="00EF02A8">
      <w:pPr>
        <w:pStyle w:val="ListParagraph"/>
        <w:numPr>
          <w:ilvl w:val="0"/>
          <w:numId w:val="3"/>
        </w:numPr>
        <w:rPr>
          <w:rFonts w:ascii="Cambria" w:hAnsi="Cambria"/>
          <w:sz w:val="20"/>
          <w:szCs w:val="20"/>
        </w:rPr>
      </w:pPr>
      <w:r w:rsidRPr="00861514">
        <w:rPr>
          <w:rFonts w:ascii="Cambria" w:hAnsi="Cambria"/>
          <w:sz w:val="20"/>
          <w:szCs w:val="20"/>
        </w:rPr>
        <w:t>Surveillance and Evaluation that continuously monitors attitudes, behaviors, and health outcomes over time, and assess the implementation and outcome of the comprehensive program to increase efficiency over time and demonstrate accountability.</w:t>
      </w:r>
    </w:p>
    <w:p w14:paraId="41A73DF0" w14:textId="77777777" w:rsidR="00342748" w:rsidRPr="00861514" w:rsidRDefault="00342748" w:rsidP="00EF02A8">
      <w:pPr>
        <w:pStyle w:val="ListParagraph"/>
        <w:rPr>
          <w:rFonts w:ascii="Cambria" w:hAnsi="Cambria"/>
          <w:sz w:val="20"/>
          <w:szCs w:val="20"/>
        </w:rPr>
      </w:pPr>
    </w:p>
    <w:p w14:paraId="47FFEABE" w14:textId="77777777" w:rsidR="00342748" w:rsidRPr="00861514" w:rsidRDefault="00342748" w:rsidP="00EF02A8">
      <w:pPr>
        <w:pStyle w:val="ListParagraph"/>
        <w:numPr>
          <w:ilvl w:val="0"/>
          <w:numId w:val="3"/>
        </w:numPr>
        <w:rPr>
          <w:rFonts w:ascii="Cambria" w:hAnsi="Cambria"/>
          <w:sz w:val="20"/>
          <w:szCs w:val="20"/>
        </w:rPr>
      </w:pPr>
      <w:r w:rsidRPr="00861514">
        <w:rPr>
          <w:rFonts w:ascii="Cambria" w:hAnsi="Cambria"/>
          <w:sz w:val="20"/>
          <w:szCs w:val="20"/>
        </w:rPr>
        <w:t xml:space="preserve">Infrastructure Administration and Management to achieve the capacity to implement effective and efficient </w:t>
      </w:r>
      <w:proofErr w:type="gramStart"/>
      <w:r w:rsidRPr="00861514">
        <w:rPr>
          <w:rFonts w:ascii="Cambria" w:hAnsi="Cambria"/>
          <w:sz w:val="20"/>
          <w:szCs w:val="20"/>
        </w:rPr>
        <w:t>interventions,</w:t>
      </w:r>
      <w:proofErr w:type="gramEnd"/>
      <w:r w:rsidRPr="00861514">
        <w:rPr>
          <w:rFonts w:ascii="Cambria" w:hAnsi="Cambria"/>
          <w:sz w:val="20"/>
          <w:szCs w:val="20"/>
        </w:rPr>
        <w:t xml:space="preserve"> ensure sustainability, provide strong leadership and foster collaborations throughout the state.</w:t>
      </w:r>
    </w:p>
    <w:p w14:paraId="3FDD4A99" w14:textId="77777777" w:rsidR="00342748" w:rsidRPr="00861514" w:rsidRDefault="00342748" w:rsidP="00EF02A8">
      <w:pPr>
        <w:rPr>
          <w:rFonts w:ascii="Cambria" w:hAnsi="Cambria"/>
          <w:sz w:val="20"/>
          <w:szCs w:val="20"/>
        </w:rPr>
      </w:pPr>
    </w:p>
    <w:p w14:paraId="2783A5AD" w14:textId="77777777" w:rsidR="00342748" w:rsidRPr="00861514" w:rsidRDefault="00342748" w:rsidP="00EF02A8">
      <w:pPr>
        <w:rPr>
          <w:rFonts w:ascii="Cambria" w:hAnsi="Cambria"/>
          <w:sz w:val="20"/>
          <w:szCs w:val="20"/>
        </w:rPr>
      </w:pPr>
      <w:r w:rsidRPr="00861514">
        <w:rPr>
          <w:rFonts w:ascii="Cambria" w:hAnsi="Cambria"/>
          <w:sz w:val="20"/>
          <w:szCs w:val="20"/>
        </w:rPr>
        <w:t>The CDC also offers evidence-based profiles to reduce the use of all tobacco products and the excessive use of alcohol products in the Prevention Status Reports (PSRs</w:t>
      </w:r>
      <w:proofErr w:type="gramStart"/>
      <w:r w:rsidRPr="00861514">
        <w:rPr>
          <w:rFonts w:ascii="Cambria" w:hAnsi="Cambria"/>
          <w:sz w:val="20"/>
          <w:szCs w:val="20"/>
        </w:rPr>
        <w:t>) which</w:t>
      </w:r>
      <w:proofErr w:type="gramEnd"/>
      <w:r w:rsidRPr="00861514">
        <w:rPr>
          <w:rFonts w:ascii="Cambria" w:hAnsi="Cambria"/>
          <w:sz w:val="20"/>
          <w:szCs w:val="20"/>
        </w:rPr>
        <w:t xml:space="preserve"> outline the policies and practices to address key public health challenges.</w:t>
      </w:r>
      <w:r w:rsidRPr="00861514">
        <w:rPr>
          <w:rStyle w:val="EndnoteReference"/>
          <w:rFonts w:ascii="Cambria" w:hAnsi="Cambria"/>
          <w:sz w:val="20"/>
          <w:szCs w:val="20"/>
        </w:rPr>
        <w:endnoteReference w:id="14"/>
      </w:r>
      <w:r w:rsidRPr="00861514">
        <w:rPr>
          <w:rFonts w:ascii="Cambria" w:hAnsi="Cambria"/>
          <w:sz w:val="20"/>
          <w:szCs w:val="20"/>
        </w:rPr>
        <w:t xml:space="preserve"> </w:t>
      </w:r>
    </w:p>
    <w:p w14:paraId="0077AC60" w14:textId="77777777" w:rsidR="00342748" w:rsidRPr="00861514" w:rsidRDefault="00342748" w:rsidP="00EF02A8">
      <w:pPr>
        <w:rPr>
          <w:rFonts w:ascii="Cambria" w:hAnsi="Cambria"/>
          <w:sz w:val="20"/>
          <w:szCs w:val="20"/>
        </w:rPr>
      </w:pPr>
    </w:p>
    <w:p w14:paraId="0A1CA024" w14:textId="77777777" w:rsidR="00342748" w:rsidRPr="00861514" w:rsidRDefault="00342748" w:rsidP="00EF02A8">
      <w:pPr>
        <w:pStyle w:val="NormalWeb"/>
        <w:numPr>
          <w:ilvl w:val="0"/>
          <w:numId w:val="6"/>
        </w:numPr>
        <w:spacing w:line="240" w:lineRule="auto"/>
        <w:rPr>
          <w:rFonts w:ascii="Cambria" w:hAnsi="Cambria"/>
          <w:color w:val="333333"/>
          <w:sz w:val="20"/>
          <w:szCs w:val="20"/>
        </w:rPr>
      </w:pPr>
      <w:r w:rsidRPr="00861514">
        <w:rPr>
          <w:rFonts w:ascii="Cambria" w:hAnsi="Cambria"/>
          <w:sz w:val="20"/>
          <w:szCs w:val="20"/>
        </w:rPr>
        <w:t>Tobacco Use Prevention</w:t>
      </w:r>
      <w:r w:rsidRPr="00861514">
        <w:rPr>
          <w:rFonts w:ascii="Cambria" w:hAnsi="Cambria"/>
          <w:b/>
          <w:sz w:val="20"/>
          <w:szCs w:val="20"/>
        </w:rPr>
        <w:t>:</w:t>
      </w:r>
      <w:r w:rsidRPr="00861514">
        <w:rPr>
          <w:rFonts w:ascii="Cambria" w:hAnsi="Cambria"/>
          <w:sz w:val="20"/>
          <w:szCs w:val="20"/>
        </w:rPr>
        <w:t xml:space="preserve"> The PSRs identify</w:t>
      </w:r>
      <w:r w:rsidRPr="00861514">
        <w:rPr>
          <w:rFonts w:ascii="Cambria" w:hAnsi="Cambria"/>
          <w:color w:val="333333"/>
          <w:sz w:val="20"/>
          <w:szCs w:val="20"/>
        </w:rPr>
        <w:t xml:space="preserve"> three policies and practices which are recommended by the Institute of Medicine, World Health Organization, Community Preventive Services Task Force, US Surgeon General, and Centers for Disease Control and Prevention because scientific studies support their effectiveness in preventing or reducing tobacco use:</w:t>
      </w:r>
      <w:r w:rsidRPr="00861514">
        <w:rPr>
          <w:rStyle w:val="EndnoteReference"/>
          <w:rFonts w:ascii="Cambria" w:hAnsi="Cambria"/>
          <w:color w:val="333333"/>
          <w:sz w:val="20"/>
          <w:szCs w:val="20"/>
        </w:rPr>
        <w:endnoteReference w:id="15"/>
      </w:r>
      <w:r w:rsidRPr="00861514">
        <w:rPr>
          <w:rFonts w:ascii="Cambria" w:hAnsi="Cambria"/>
          <w:color w:val="333333"/>
          <w:sz w:val="20"/>
          <w:szCs w:val="20"/>
          <w:vertAlign w:val="superscript"/>
        </w:rPr>
        <w:t>,</w:t>
      </w:r>
      <w:r w:rsidRPr="00861514">
        <w:rPr>
          <w:rFonts w:ascii="Cambria" w:hAnsi="Cambria"/>
          <w:color w:val="333333"/>
          <w:sz w:val="20"/>
          <w:szCs w:val="20"/>
        </w:rPr>
        <w:t xml:space="preserve"> </w:t>
      </w:r>
      <w:r w:rsidRPr="00861514">
        <w:rPr>
          <w:rStyle w:val="EndnoteReference"/>
          <w:rFonts w:ascii="Cambria" w:hAnsi="Cambria"/>
          <w:color w:val="333333"/>
          <w:sz w:val="20"/>
          <w:szCs w:val="20"/>
        </w:rPr>
        <w:endnoteReference w:id="16"/>
      </w:r>
      <w:r w:rsidRPr="00861514">
        <w:rPr>
          <w:rFonts w:ascii="Cambria" w:hAnsi="Cambria"/>
          <w:color w:val="333333"/>
          <w:sz w:val="20"/>
          <w:szCs w:val="20"/>
          <w:vertAlign w:val="superscript"/>
        </w:rPr>
        <w:t>,</w:t>
      </w:r>
      <w:r w:rsidRPr="00861514">
        <w:rPr>
          <w:rFonts w:ascii="Cambria" w:hAnsi="Cambria"/>
          <w:color w:val="333333"/>
          <w:sz w:val="20"/>
          <w:szCs w:val="20"/>
        </w:rPr>
        <w:t xml:space="preserve"> </w:t>
      </w:r>
      <w:r w:rsidRPr="00861514">
        <w:rPr>
          <w:rStyle w:val="EndnoteReference"/>
          <w:rFonts w:ascii="Cambria" w:hAnsi="Cambria"/>
          <w:color w:val="333333"/>
          <w:sz w:val="20"/>
          <w:szCs w:val="20"/>
        </w:rPr>
        <w:endnoteReference w:id="17"/>
      </w:r>
      <w:r w:rsidRPr="00861514">
        <w:rPr>
          <w:rFonts w:ascii="Cambria" w:hAnsi="Cambria"/>
          <w:color w:val="333333"/>
          <w:sz w:val="20"/>
          <w:szCs w:val="20"/>
          <w:vertAlign w:val="superscript"/>
        </w:rPr>
        <w:t>,</w:t>
      </w:r>
      <w:r w:rsidRPr="00861514">
        <w:rPr>
          <w:rFonts w:ascii="Cambria" w:hAnsi="Cambria"/>
          <w:color w:val="333333"/>
          <w:sz w:val="20"/>
          <w:szCs w:val="20"/>
        </w:rPr>
        <w:t xml:space="preserve"> </w:t>
      </w:r>
      <w:r w:rsidRPr="00861514">
        <w:rPr>
          <w:rStyle w:val="EndnoteReference"/>
          <w:rFonts w:ascii="Cambria" w:hAnsi="Cambria"/>
          <w:color w:val="333333"/>
          <w:sz w:val="20"/>
          <w:szCs w:val="20"/>
        </w:rPr>
        <w:endnoteReference w:id="18"/>
      </w:r>
      <w:r w:rsidRPr="00861514">
        <w:rPr>
          <w:rFonts w:ascii="Cambria" w:hAnsi="Cambria"/>
          <w:color w:val="333333"/>
          <w:sz w:val="20"/>
          <w:szCs w:val="20"/>
          <w:vertAlign w:val="superscript"/>
        </w:rPr>
        <w:t>,</w:t>
      </w:r>
      <w:r w:rsidRPr="00861514">
        <w:rPr>
          <w:rStyle w:val="EndnoteReference"/>
          <w:rFonts w:ascii="Cambria" w:hAnsi="Cambria"/>
          <w:color w:val="333333"/>
          <w:sz w:val="20"/>
          <w:szCs w:val="20"/>
        </w:rPr>
        <w:endnoteReference w:id="19"/>
      </w:r>
      <w:r w:rsidRPr="00861514">
        <w:rPr>
          <w:rFonts w:ascii="Cambria" w:hAnsi="Cambria"/>
          <w:color w:val="333333"/>
          <w:sz w:val="20"/>
          <w:szCs w:val="20"/>
        </w:rPr>
        <w:t xml:space="preserve"> </w:t>
      </w:r>
    </w:p>
    <w:p w14:paraId="07384093" w14:textId="77777777" w:rsidR="00342748" w:rsidRPr="00861514" w:rsidRDefault="00342748" w:rsidP="00EF02A8">
      <w:pPr>
        <w:pStyle w:val="NormalWeb"/>
        <w:numPr>
          <w:ilvl w:val="1"/>
          <w:numId w:val="6"/>
        </w:numPr>
        <w:spacing w:line="240" w:lineRule="auto"/>
        <w:rPr>
          <w:rFonts w:ascii="Cambria" w:hAnsi="Cambria"/>
          <w:color w:val="333333"/>
          <w:sz w:val="20"/>
          <w:szCs w:val="20"/>
        </w:rPr>
      </w:pPr>
      <w:r w:rsidRPr="00861514">
        <w:rPr>
          <w:rFonts w:ascii="Cambria" w:hAnsi="Cambria"/>
          <w:color w:val="333333"/>
          <w:sz w:val="20"/>
          <w:szCs w:val="20"/>
        </w:rPr>
        <w:t xml:space="preserve">Increasing the price of tobacco products, such as through state cigarette excise taxes. </w:t>
      </w:r>
    </w:p>
    <w:p w14:paraId="14120EED" w14:textId="77777777" w:rsidR="00342748" w:rsidRPr="00861514" w:rsidRDefault="00342748" w:rsidP="00EF02A8">
      <w:pPr>
        <w:pStyle w:val="NormalWeb"/>
        <w:numPr>
          <w:ilvl w:val="1"/>
          <w:numId w:val="6"/>
        </w:numPr>
        <w:spacing w:line="240" w:lineRule="auto"/>
        <w:rPr>
          <w:rFonts w:ascii="Cambria" w:hAnsi="Cambria"/>
          <w:color w:val="333333"/>
          <w:sz w:val="20"/>
          <w:szCs w:val="20"/>
        </w:rPr>
      </w:pPr>
      <w:r w:rsidRPr="00861514">
        <w:rPr>
          <w:rFonts w:ascii="Cambria" w:hAnsi="Cambria"/>
          <w:color w:val="333333"/>
          <w:sz w:val="20"/>
          <w:szCs w:val="20"/>
        </w:rPr>
        <w:t>Establishing comprehensive, statewide smoke-free policies to protect all nonsmokers from exposure to secondhand smoke.</w:t>
      </w:r>
    </w:p>
    <w:p w14:paraId="13D348D2" w14:textId="77777777" w:rsidR="00342748" w:rsidRPr="00861514" w:rsidRDefault="00342748" w:rsidP="00EF02A8">
      <w:pPr>
        <w:pStyle w:val="NormalWeb"/>
        <w:numPr>
          <w:ilvl w:val="1"/>
          <w:numId w:val="6"/>
        </w:numPr>
        <w:spacing w:line="240" w:lineRule="auto"/>
        <w:rPr>
          <w:rFonts w:ascii="Cambria" w:hAnsi="Cambria"/>
          <w:color w:val="333333"/>
          <w:sz w:val="20"/>
          <w:szCs w:val="20"/>
        </w:rPr>
      </w:pPr>
      <w:r w:rsidRPr="00861514">
        <w:rPr>
          <w:rFonts w:ascii="Cambria" w:hAnsi="Cambria"/>
          <w:color w:val="333333"/>
          <w:sz w:val="20"/>
          <w:szCs w:val="20"/>
        </w:rPr>
        <w:t>Sustaining comprehensive tobacco control program funding.</w:t>
      </w:r>
    </w:p>
    <w:p w14:paraId="2B9D4A4A" w14:textId="77777777" w:rsidR="00342748" w:rsidRPr="00861514" w:rsidRDefault="00342748" w:rsidP="00EF02A8">
      <w:pPr>
        <w:spacing w:after="150"/>
        <w:rPr>
          <w:rFonts w:ascii="Cambria" w:eastAsia="Times New Roman" w:hAnsi="Cambria" w:cs="Times New Roman"/>
          <w:color w:val="333333"/>
          <w:sz w:val="20"/>
          <w:szCs w:val="20"/>
        </w:rPr>
      </w:pPr>
      <w:r w:rsidRPr="00861514">
        <w:rPr>
          <w:rFonts w:ascii="Cambria" w:eastAsia="Times New Roman" w:hAnsi="Cambria" w:cs="Times New Roman"/>
          <w:color w:val="333333"/>
          <w:sz w:val="20"/>
          <w:szCs w:val="20"/>
        </w:rPr>
        <w:t>Other strategies also supported by scientific evidence include hard-hitting media campaigns and systemic changes to increase access to and use of cessation services.</w:t>
      </w:r>
      <w:r w:rsidRPr="00861514">
        <w:rPr>
          <w:rStyle w:val="EndnoteReference"/>
          <w:rFonts w:ascii="Cambria" w:eastAsia="Times New Roman" w:hAnsi="Cambria" w:cs="Times New Roman"/>
          <w:color w:val="333333"/>
          <w:sz w:val="20"/>
          <w:szCs w:val="20"/>
        </w:rPr>
        <w:endnoteReference w:id="20"/>
      </w:r>
    </w:p>
    <w:p w14:paraId="4C37B83C" w14:textId="77777777" w:rsidR="00342748" w:rsidRPr="00861514" w:rsidRDefault="00342748" w:rsidP="00EF02A8">
      <w:pPr>
        <w:pStyle w:val="NormalWeb"/>
        <w:numPr>
          <w:ilvl w:val="0"/>
          <w:numId w:val="7"/>
        </w:numPr>
        <w:spacing w:line="240" w:lineRule="auto"/>
        <w:rPr>
          <w:rFonts w:ascii="Cambria" w:hAnsi="Cambria"/>
          <w:color w:val="333333"/>
          <w:sz w:val="20"/>
          <w:szCs w:val="20"/>
        </w:rPr>
      </w:pPr>
      <w:r w:rsidRPr="00861514">
        <w:rPr>
          <w:rFonts w:ascii="Cambria" w:hAnsi="Cambria"/>
          <w:sz w:val="20"/>
          <w:szCs w:val="20"/>
        </w:rPr>
        <w:lastRenderedPageBreak/>
        <w:t>Excessive Alcohol Use Prevention</w:t>
      </w:r>
      <w:r w:rsidRPr="00861514">
        <w:rPr>
          <w:rFonts w:ascii="Cambria" w:hAnsi="Cambria"/>
          <w:b/>
          <w:sz w:val="20"/>
          <w:szCs w:val="20"/>
        </w:rPr>
        <w:t>:</w:t>
      </w:r>
      <w:r w:rsidRPr="00861514">
        <w:rPr>
          <w:rFonts w:ascii="Cambria" w:hAnsi="Cambria"/>
          <w:sz w:val="20"/>
          <w:szCs w:val="20"/>
        </w:rPr>
        <w:t xml:space="preserve"> The PSRs </w:t>
      </w:r>
      <w:r w:rsidRPr="00861514">
        <w:rPr>
          <w:rFonts w:ascii="Cambria" w:hAnsi="Cambria"/>
          <w:color w:val="333333"/>
          <w:sz w:val="20"/>
          <w:szCs w:val="20"/>
        </w:rPr>
        <w:t>focuses on the following evidence-based policies recommended by the Community Preventive Services Task Force for preventing alcohol-related harms:</w:t>
      </w:r>
      <w:r w:rsidRPr="00861514">
        <w:rPr>
          <w:rStyle w:val="EndnoteReference"/>
          <w:rFonts w:ascii="Cambria" w:hAnsi="Cambria"/>
          <w:color w:val="333333"/>
          <w:sz w:val="20"/>
          <w:szCs w:val="20"/>
        </w:rPr>
        <w:endnoteReference w:id="21"/>
      </w:r>
      <w:r w:rsidRPr="00861514">
        <w:rPr>
          <w:rFonts w:ascii="Cambria" w:hAnsi="Cambria"/>
          <w:color w:val="333333"/>
          <w:sz w:val="20"/>
          <w:szCs w:val="20"/>
          <w:vertAlign w:val="superscript"/>
        </w:rPr>
        <w:t>,</w:t>
      </w:r>
      <w:r w:rsidRPr="00861514">
        <w:rPr>
          <w:rFonts w:ascii="Cambria" w:hAnsi="Cambria"/>
          <w:color w:val="333333"/>
          <w:sz w:val="20"/>
          <w:szCs w:val="20"/>
        </w:rPr>
        <w:t xml:space="preserve"> </w:t>
      </w:r>
      <w:r w:rsidRPr="00861514">
        <w:rPr>
          <w:rStyle w:val="EndnoteReference"/>
          <w:rFonts w:ascii="Cambria" w:hAnsi="Cambria"/>
          <w:color w:val="333333"/>
          <w:sz w:val="20"/>
          <w:szCs w:val="20"/>
        </w:rPr>
        <w:endnoteReference w:id="22"/>
      </w:r>
    </w:p>
    <w:p w14:paraId="10A3B299" w14:textId="77777777" w:rsidR="00342748" w:rsidRPr="00861514" w:rsidRDefault="00342748" w:rsidP="00EF02A8">
      <w:pPr>
        <w:pStyle w:val="NormalWeb"/>
        <w:numPr>
          <w:ilvl w:val="1"/>
          <w:numId w:val="7"/>
        </w:numPr>
        <w:spacing w:line="240" w:lineRule="auto"/>
        <w:rPr>
          <w:rFonts w:ascii="Cambria" w:hAnsi="Cambria"/>
          <w:color w:val="333333"/>
          <w:sz w:val="20"/>
          <w:szCs w:val="20"/>
        </w:rPr>
      </w:pPr>
      <w:r w:rsidRPr="00861514">
        <w:rPr>
          <w:rFonts w:ascii="Cambria" w:hAnsi="Cambria"/>
          <w:color w:val="333333"/>
          <w:sz w:val="20"/>
          <w:szCs w:val="20"/>
        </w:rPr>
        <w:t>Increasing state excise taxes on beer, distilled spirits, and wine.</w:t>
      </w:r>
    </w:p>
    <w:p w14:paraId="73075CD0" w14:textId="77777777" w:rsidR="00342748" w:rsidRPr="00861514" w:rsidRDefault="00342748" w:rsidP="00EF02A8">
      <w:pPr>
        <w:pStyle w:val="NormalWeb"/>
        <w:numPr>
          <w:ilvl w:val="1"/>
          <w:numId w:val="7"/>
        </w:numPr>
        <w:spacing w:line="240" w:lineRule="auto"/>
        <w:rPr>
          <w:rFonts w:ascii="Cambria" w:hAnsi="Cambria"/>
          <w:color w:val="333333"/>
          <w:sz w:val="20"/>
          <w:szCs w:val="20"/>
        </w:rPr>
      </w:pPr>
      <w:r w:rsidRPr="00861514">
        <w:rPr>
          <w:rFonts w:ascii="Cambria" w:hAnsi="Cambria"/>
          <w:color w:val="333333"/>
          <w:sz w:val="20"/>
          <w:szCs w:val="20"/>
        </w:rPr>
        <w:t>Having commercial host (dram shop) liability laws.</w:t>
      </w:r>
    </w:p>
    <w:p w14:paraId="7C809178" w14:textId="77777777" w:rsidR="00342748" w:rsidRPr="00861514" w:rsidRDefault="00342748" w:rsidP="00EF02A8">
      <w:pPr>
        <w:spacing w:after="150"/>
        <w:rPr>
          <w:rFonts w:ascii="Cambria" w:eastAsia="Times New Roman" w:hAnsi="Cambria" w:cs="Times New Roman"/>
          <w:color w:val="333333"/>
          <w:sz w:val="20"/>
          <w:szCs w:val="20"/>
        </w:rPr>
      </w:pPr>
      <w:r w:rsidRPr="00861514">
        <w:rPr>
          <w:rFonts w:ascii="Cambria" w:eastAsia="Times New Roman" w:hAnsi="Cambria" w:cs="Times New Roman"/>
          <w:color w:val="333333"/>
          <w:sz w:val="20"/>
          <w:szCs w:val="20"/>
        </w:rPr>
        <w:t>Other strategies recommended by the Community Preventive Services Task Force and US Preventive Services Task Force for reducing alcohol-related harms include regulating alcohol outlet density, avoiding further privatization of retail alcohol sales, and providing adults (including pregnant women) with screening and brief intervention for excessive alcohol use.</w:t>
      </w:r>
      <w:r w:rsidRPr="00861514">
        <w:rPr>
          <w:rStyle w:val="EndnoteReference"/>
          <w:rFonts w:ascii="Cambria" w:eastAsia="Times New Roman" w:hAnsi="Cambria" w:cs="Times New Roman"/>
          <w:color w:val="333333"/>
          <w:sz w:val="20"/>
          <w:szCs w:val="20"/>
        </w:rPr>
        <w:endnoteReference w:id="23"/>
      </w:r>
      <w:r w:rsidRPr="00861514">
        <w:rPr>
          <w:rFonts w:ascii="Cambria" w:hAnsi="Cambria"/>
          <w:color w:val="333333"/>
          <w:sz w:val="20"/>
          <w:szCs w:val="20"/>
          <w:vertAlign w:val="superscript"/>
        </w:rPr>
        <w:t>,</w:t>
      </w:r>
      <w:r w:rsidRPr="00861514">
        <w:rPr>
          <w:rFonts w:ascii="Cambria" w:eastAsia="Times New Roman" w:hAnsi="Cambria" w:cs="Times New Roman"/>
          <w:color w:val="333333"/>
          <w:sz w:val="20"/>
          <w:szCs w:val="20"/>
        </w:rPr>
        <w:t xml:space="preserve"> </w:t>
      </w:r>
      <w:r w:rsidRPr="00861514">
        <w:rPr>
          <w:rStyle w:val="EndnoteReference"/>
          <w:rFonts w:ascii="Cambria" w:eastAsia="Times New Roman" w:hAnsi="Cambria" w:cs="Times New Roman"/>
          <w:color w:val="333333"/>
          <w:sz w:val="20"/>
          <w:szCs w:val="20"/>
        </w:rPr>
        <w:endnoteReference w:id="24"/>
      </w:r>
      <w:r w:rsidRPr="00861514">
        <w:rPr>
          <w:rFonts w:ascii="Cambria" w:hAnsi="Cambria"/>
          <w:color w:val="333333"/>
          <w:sz w:val="20"/>
          <w:szCs w:val="20"/>
          <w:vertAlign w:val="superscript"/>
        </w:rPr>
        <w:t>,</w:t>
      </w:r>
      <w:r w:rsidRPr="00861514">
        <w:rPr>
          <w:rFonts w:ascii="Cambria" w:eastAsia="Times New Roman" w:hAnsi="Cambria" w:cs="Times New Roman"/>
          <w:color w:val="333333"/>
          <w:sz w:val="20"/>
          <w:szCs w:val="20"/>
        </w:rPr>
        <w:t xml:space="preserve"> </w:t>
      </w:r>
      <w:r w:rsidRPr="00861514">
        <w:rPr>
          <w:rStyle w:val="EndnoteReference"/>
          <w:rFonts w:ascii="Cambria" w:eastAsia="Times New Roman" w:hAnsi="Cambria" w:cs="Times New Roman"/>
          <w:color w:val="333333"/>
          <w:sz w:val="20"/>
          <w:szCs w:val="20"/>
        </w:rPr>
        <w:endnoteReference w:id="25"/>
      </w:r>
    </w:p>
    <w:p w14:paraId="4839FBDE" w14:textId="2D0EB818" w:rsidR="00342748" w:rsidRPr="00DD32D6" w:rsidRDefault="00DD32D6" w:rsidP="00BE3ACE">
      <w:pPr>
        <w:rPr>
          <w:b/>
        </w:rPr>
      </w:pPr>
      <w:r w:rsidRPr="00DD32D6">
        <w:rPr>
          <w:b/>
        </w:rPr>
        <w:t>Organizations in Support of this Statement:</w:t>
      </w:r>
    </w:p>
    <w:p w14:paraId="5933A35B" w14:textId="77777777" w:rsidR="00DD32D6" w:rsidRDefault="00DD32D6" w:rsidP="00BE3ACE"/>
    <w:p w14:paraId="28B948FC" w14:textId="77777777" w:rsidR="00DD32D6" w:rsidRDefault="00DD32D6" w:rsidP="00BE3ACE"/>
    <w:p w14:paraId="43001D31" w14:textId="77777777" w:rsidR="00DD4211" w:rsidRDefault="00DD4211"/>
    <w:p w14:paraId="56DE8ECB" w14:textId="77777777" w:rsidR="00061384" w:rsidRDefault="00061384"/>
    <w:p w14:paraId="3318F297" w14:textId="77777777" w:rsidR="00061384" w:rsidRDefault="00061384"/>
    <w:sectPr w:rsidR="00061384" w:rsidSect="00193A28">
      <w:endnotePr>
        <w:numFmt w:val="decimal"/>
      </w:endnotePr>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A68345" w15:done="0"/>
  <w15:commentEx w15:paraId="0D4ED664" w15:done="0"/>
  <w15:commentEx w15:paraId="1CCA64F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BC58C" w14:textId="77777777" w:rsidR="009C27DD" w:rsidRDefault="009C27DD" w:rsidP="00A43BEF">
      <w:r>
        <w:separator/>
      </w:r>
    </w:p>
  </w:endnote>
  <w:endnote w:type="continuationSeparator" w:id="0">
    <w:p w14:paraId="6DA15D0D" w14:textId="77777777" w:rsidR="009C27DD" w:rsidRDefault="009C27DD" w:rsidP="00A43BEF">
      <w:r>
        <w:continuationSeparator/>
      </w:r>
    </w:p>
  </w:endnote>
  <w:endnote w:id="1">
    <w:p w14:paraId="7459A4CC" w14:textId="411E284B" w:rsidR="009C27DD" w:rsidRPr="00452263" w:rsidRDefault="009C27DD">
      <w:pPr>
        <w:pStyle w:val="EndnoteText"/>
        <w:rPr>
          <w:rFonts w:ascii="Cambria" w:hAnsi="Cambria"/>
          <w:sz w:val="20"/>
          <w:szCs w:val="20"/>
        </w:rPr>
      </w:pPr>
      <w:r w:rsidRPr="00BE29A5">
        <w:rPr>
          <w:rStyle w:val="EndnoteReference"/>
          <w:rFonts w:ascii="Cambria" w:hAnsi="Cambria"/>
        </w:rPr>
        <w:endnoteRef/>
      </w:r>
      <w:r w:rsidRPr="00BE29A5">
        <w:rPr>
          <w:rFonts w:ascii="Cambria" w:hAnsi="Cambria"/>
        </w:rPr>
        <w:t xml:space="preserve"> </w:t>
      </w:r>
      <w:r w:rsidRPr="00452263">
        <w:rPr>
          <w:rFonts w:ascii="Cambria" w:hAnsi="Cambria"/>
          <w:i/>
          <w:sz w:val="20"/>
          <w:szCs w:val="20"/>
        </w:rPr>
        <w:t>The Legalization of Marijuana in Colorado: The Impact</w:t>
      </w:r>
      <w:r w:rsidRPr="00452263">
        <w:rPr>
          <w:rFonts w:ascii="Cambria" w:hAnsi="Cambria"/>
          <w:sz w:val="20"/>
          <w:szCs w:val="20"/>
        </w:rPr>
        <w:t xml:space="preserve">, The Rocky Mountain High Intensity Drug Trafficking Area, October </w:t>
      </w:r>
      <w:proofErr w:type="gramStart"/>
      <w:r w:rsidRPr="00452263">
        <w:rPr>
          <w:rFonts w:ascii="Cambria" w:hAnsi="Cambria"/>
          <w:sz w:val="20"/>
          <w:szCs w:val="20"/>
        </w:rPr>
        <w:t>2017 :www.rmhidta.org</w:t>
      </w:r>
      <w:proofErr w:type="gramEnd"/>
    </w:p>
  </w:endnote>
  <w:endnote w:id="2">
    <w:p w14:paraId="00EC246A" w14:textId="3A00557D" w:rsidR="009C27DD" w:rsidRPr="00452263" w:rsidRDefault="009C27DD">
      <w:pPr>
        <w:pStyle w:val="EndnoteText"/>
        <w:rPr>
          <w:rFonts w:ascii="Cambria" w:hAnsi="Cambria"/>
          <w:sz w:val="20"/>
          <w:szCs w:val="20"/>
        </w:rPr>
      </w:pPr>
      <w:r w:rsidRPr="00452263">
        <w:rPr>
          <w:rStyle w:val="EndnoteReference"/>
          <w:rFonts w:ascii="Cambria" w:hAnsi="Cambria"/>
          <w:sz w:val="20"/>
          <w:szCs w:val="20"/>
        </w:rPr>
        <w:endnoteRef/>
      </w:r>
      <w:r w:rsidRPr="00452263">
        <w:rPr>
          <w:rFonts w:ascii="Cambria" w:hAnsi="Cambria"/>
          <w:sz w:val="20"/>
          <w:szCs w:val="20"/>
        </w:rPr>
        <w:t xml:space="preserve"> Nora </w:t>
      </w:r>
      <w:proofErr w:type="spellStart"/>
      <w:r w:rsidRPr="00452263">
        <w:rPr>
          <w:rFonts w:ascii="Cambria" w:hAnsi="Cambria"/>
          <w:sz w:val="20"/>
          <w:szCs w:val="20"/>
        </w:rPr>
        <w:t>Volkow</w:t>
      </w:r>
      <w:proofErr w:type="spellEnd"/>
      <w:r w:rsidRPr="00452263">
        <w:rPr>
          <w:rFonts w:ascii="Cambria" w:hAnsi="Cambria"/>
          <w:sz w:val="20"/>
          <w:szCs w:val="20"/>
        </w:rPr>
        <w:t xml:space="preserve">, MD, Ruben D </w:t>
      </w:r>
      <w:proofErr w:type="gramStart"/>
      <w:r w:rsidRPr="00452263">
        <w:rPr>
          <w:rFonts w:ascii="Cambria" w:hAnsi="Cambria"/>
          <w:sz w:val="20"/>
          <w:szCs w:val="20"/>
        </w:rPr>
        <w:t>Baler ,</w:t>
      </w:r>
      <w:proofErr w:type="gramEnd"/>
      <w:r w:rsidRPr="00452263">
        <w:rPr>
          <w:rFonts w:ascii="Cambria" w:hAnsi="Cambria"/>
          <w:sz w:val="20"/>
          <w:szCs w:val="20"/>
        </w:rPr>
        <w:t xml:space="preserve"> PhD, Wilson M Compton, MD, and Susan RB Weiss, PhD, “Adverse Health Effects of Marijuana Use,” NEMJ, June 5, 2014, 2220</w:t>
      </w:r>
    </w:p>
  </w:endnote>
  <w:endnote w:id="3">
    <w:p w14:paraId="1DECED7A" w14:textId="7D090C11" w:rsidR="009C27DD" w:rsidRPr="00861514" w:rsidRDefault="009C27DD">
      <w:pPr>
        <w:pStyle w:val="EndnoteText"/>
        <w:rPr>
          <w:rFonts w:ascii="Cambria" w:hAnsi="Cambria"/>
          <w:color w:val="0000FF" w:themeColor="hyperlink"/>
          <w:sz w:val="20"/>
          <w:szCs w:val="20"/>
          <w:u w:val="single"/>
        </w:rPr>
      </w:pPr>
      <w:r w:rsidRPr="00452263">
        <w:rPr>
          <w:rStyle w:val="EndnoteReference"/>
          <w:rFonts w:ascii="Cambria" w:hAnsi="Cambria"/>
          <w:sz w:val="20"/>
          <w:szCs w:val="20"/>
        </w:rPr>
        <w:endnoteRef/>
      </w:r>
      <w:r w:rsidRPr="00452263">
        <w:rPr>
          <w:rFonts w:ascii="Cambria" w:hAnsi="Cambria"/>
          <w:sz w:val="20"/>
          <w:szCs w:val="20"/>
        </w:rPr>
        <w:t xml:space="preserve"> </w:t>
      </w:r>
      <w:hyperlink r:id="rId1" w:history="1">
        <w:r w:rsidRPr="00452263">
          <w:rPr>
            <w:rStyle w:val="Hyperlink"/>
            <w:rFonts w:ascii="Cambria" w:hAnsi="Cambria"/>
            <w:sz w:val="20"/>
            <w:szCs w:val="20"/>
          </w:rPr>
          <w:t>https://www.surgeongeneral.gov/priorities/prevention/strategy/report.pdf</w:t>
        </w:r>
      </w:hyperlink>
    </w:p>
  </w:endnote>
  <w:endnote w:id="4">
    <w:p w14:paraId="66FB8AE4" w14:textId="77777777" w:rsidR="009C27DD" w:rsidRPr="00342748" w:rsidRDefault="009C27DD" w:rsidP="00342748">
      <w:pPr>
        <w:pStyle w:val="EndnoteText"/>
        <w:rPr>
          <w:sz w:val="20"/>
          <w:szCs w:val="20"/>
        </w:rPr>
      </w:pPr>
      <w:r>
        <w:rPr>
          <w:rStyle w:val="EndnoteReference"/>
        </w:rPr>
        <w:endnoteRef/>
      </w:r>
      <w:r>
        <w:t xml:space="preserve"> </w:t>
      </w:r>
      <w:proofErr w:type="gramStart"/>
      <w:r w:rsidRPr="00E22F80">
        <w:rPr>
          <w:sz w:val="20"/>
          <w:szCs w:val="20"/>
        </w:rPr>
        <w:t xml:space="preserve">See </w:t>
      </w:r>
      <w:r w:rsidRPr="00342748">
        <w:rPr>
          <w:i/>
          <w:sz w:val="20"/>
          <w:szCs w:val="20"/>
        </w:rPr>
        <w:t>2015-17 Master Plan of the Tobacco Education and Research Oversight Committee for California</w:t>
      </w:r>
      <w:r>
        <w:rPr>
          <w:sz w:val="20"/>
          <w:szCs w:val="20"/>
        </w:rPr>
        <w:t xml:space="preserve">, </w:t>
      </w:r>
      <w:hyperlink r:id="rId2" w:history="1">
        <w:r w:rsidRPr="00342748">
          <w:rPr>
            <w:rStyle w:val="Hyperlink"/>
            <w:sz w:val="20"/>
            <w:szCs w:val="20"/>
          </w:rPr>
          <w:t>https://www.cdph.ca.gov/Programs/CCDPHP/DCDIC/CTCB/CDPH%20Document%20Library/TEROC/MasterPlan/20152017MasterPlanChangingLandscapeCounteringNewThreats.pdf</w:t>
        </w:r>
      </w:hyperlink>
      <w:r>
        <w:rPr>
          <w:sz w:val="20"/>
          <w:szCs w:val="20"/>
        </w:rPr>
        <w:t>.</w:t>
      </w:r>
      <w:proofErr w:type="gramEnd"/>
      <w:r>
        <w:rPr>
          <w:sz w:val="20"/>
          <w:szCs w:val="20"/>
        </w:rPr>
        <w:t xml:space="preserve"> Retrieved December 5, 2018.</w:t>
      </w:r>
    </w:p>
  </w:endnote>
  <w:endnote w:id="5">
    <w:p w14:paraId="5B0C4B3B" w14:textId="77777777" w:rsidR="009C27DD" w:rsidRPr="00342748" w:rsidRDefault="009C27DD" w:rsidP="00342748">
      <w:pPr>
        <w:pStyle w:val="EndnoteText"/>
        <w:rPr>
          <w:sz w:val="20"/>
          <w:szCs w:val="20"/>
        </w:rPr>
      </w:pPr>
      <w:r w:rsidRPr="00342748">
        <w:rPr>
          <w:rStyle w:val="EndnoteReference"/>
          <w:sz w:val="20"/>
          <w:szCs w:val="20"/>
        </w:rPr>
        <w:endnoteRef/>
      </w:r>
      <w:r w:rsidRPr="00342748">
        <w:rPr>
          <w:sz w:val="20"/>
          <w:szCs w:val="20"/>
        </w:rPr>
        <w:t xml:space="preserve"> </w:t>
      </w:r>
      <w:proofErr w:type="spellStart"/>
      <w:r w:rsidRPr="00342748">
        <w:rPr>
          <w:sz w:val="20"/>
          <w:szCs w:val="20"/>
        </w:rPr>
        <w:t>Orzechowski</w:t>
      </w:r>
      <w:proofErr w:type="spellEnd"/>
      <w:r w:rsidRPr="00342748">
        <w:rPr>
          <w:sz w:val="20"/>
          <w:szCs w:val="20"/>
        </w:rPr>
        <w:t xml:space="preserve">, W., Walker, R.C. </w:t>
      </w:r>
      <w:r w:rsidRPr="00342748">
        <w:rPr>
          <w:i/>
          <w:sz w:val="20"/>
          <w:szCs w:val="20"/>
        </w:rPr>
        <w:t>Tax burden on tobacco</w:t>
      </w:r>
      <w:r w:rsidRPr="00342748">
        <w:rPr>
          <w:sz w:val="20"/>
          <w:szCs w:val="20"/>
        </w:rPr>
        <w:t>. 2014.</w:t>
      </w:r>
    </w:p>
  </w:endnote>
  <w:endnote w:id="6">
    <w:p w14:paraId="01AF00B0" w14:textId="77777777" w:rsidR="009C27DD" w:rsidRPr="003924F3" w:rsidRDefault="009C27DD" w:rsidP="00342748">
      <w:pPr>
        <w:pStyle w:val="EndnoteText"/>
      </w:pPr>
      <w:r>
        <w:rPr>
          <w:rStyle w:val="EndnoteReference"/>
        </w:rPr>
        <w:endnoteRef/>
      </w:r>
      <w:r>
        <w:t xml:space="preserve"> </w:t>
      </w:r>
      <w:r w:rsidRPr="00342748">
        <w:rPr>
          <w:sz w:val="20"/>
          <w:szCs w:val="20"/>
        </w:rPr>
        <w:t xml:space="preserve">California Department of Public Health, California Tobacco Control Program. </w:t>
      </w:r>
      <w:r w:rsidRPr="00342748">
        <w:rPr>
          <w:i/>
          <w:sz w:val="20"/>
          <w:szCs w:val="20"/>
        </w:rPr>
        <w:t>Behav</w:t>
      </w:r>
      <w:r>
        <w:rPr>
          <w:i/>
          <w:sz w:val="20"/>
          <w:szCs w:val="20"/>
        </w:rPr>
        <w:t>i</w:t>
      </w:r>
      <w:r w:rsidRPr="003924F3">
        <w:rPr>
          <w:i/>
          <w:sz w:val="20"/>
          <w:szCs w:val="20"/>
        </w:rPr>
        <w:t>or</w:t>
      </w:r>
      <w:r w:rsidRPr="00342748">
        <w:rPr>
          <w:i/>
          <w:sz w:val="20"/>
          <w:szCs w:val="20"/>
        </w:rPr>
        <w:t>al Risk Factor Surveillance System: California Adult Tobacco Survey.</w:t>
      </w:r>
      <w:r w:rsidRPr="00342748">
        <w:rPr>
          <w:sz w:val="20"/>
          <w:szCs w:val="20"/>
        </w:rPr>
        <w:t xml:space="preserve"> </w:t>
      </w:r>
      <w:proofErr w:type="gramStart"/>
      <w:r w:rsidRPr="00342748">
        <w:rPr>
          <w:sz w:val="20"/>
          <w:szCs w:val="20"/>
        </w:rPr>
        <w:t>1988-2013. Sacramento, CA. 2014.</w:t>
      </w:r>
      <w:proofErr w:type="gramEnd"/>
    </w:p>
  </w:endnote>
  <w:endnote w:id="7">
    <w:p w14:paraId="31BA02C8" w14:textId="77777777" w:rsidR="009C27DD" w:rsidRDefault="009C27DD" w:rsidP="00342748">
      <w:pPr>
        <w:pStyle w:val="EndnoteText"/>
      </w:pPr>
      <w:r>
        <w:rPr>
          <w:rStyle w:val="EndnoteReference"/>
        </w:rPr>
        <w:endnoteRef/>
      </w:r>
      <w:r>
        <w:t xml:space="preserve"> </w:t>
      </w:r>
      <w:proofErr w:type="gramStart"/>
      <w:r w:rsidRPr="00342748">
        <w:rPr>
          <w:sz w:val="20"/>
          <w:szCs w:val="20"/>
        </w:rPr>
        <w:t>American Legacy Foundation.</w:t>
      </w:r>
      <w:proofErr w:type="gramEnd"/>
      <w:r w:rsidRPr="00342748">
        <w:rPr>
          <w:sz w:val="20"/>
          <w:szCs w:val="20"/>
        </w:rPr>
        <w:t xml:space="preserve"> </w:t>
      </w:r>
      <w:proofErr w:type="gramStart"/>
      <w:r w:rsidRPr="00342748">
        <w:rPr>
          <w:sz w:val="20"/>
          <w:szCs w:val="20"/>
        </w:rPr>
        <w:t>High school student smoking prevalence.</w:t>
      </w:r>
      <w:proofErr w:type="gramEnd"/>
      <w:r w:rsidRPr="00342748">
        <w:rPr>
          <w:sz w:val="20"/>
          <w:szCs w:val="20"/>
        </w:rPr>
        <w:t xml:space="preserve"> 2000.</w:t>
      </w:r>
    </w:p>
  </w:endnote>
  <w:endnote w:id="8">
    <w:p w14:paraId="480977E4" w14:textId="77777777" w:rsidR="009C27DD" w:rsidRPr="00342748" w:rsidRDefault="009C27DD" w:rsidP="00342748">
      <w:pPr>
        <w:pStyle w:val="EndnoteText"/>
        <w:rPr>
          <w:sz w:val="20"/>
          <w:szCs w:val="20"/>
        </w:rPr>
      </w:pPr>
      <w:r>
        <w:rPr>
          <w:rStyle w:val="EndnoteReference"/>
        </w:rPr>
        <w:endnoteRef/>
      </w:r>
      <w:r>
        <w:t xml:space="preserve"> </w:t>
      </w:r>
      <w:proofErr w:type="gramStart"/>
      <w:r w:rsidRPr="00342748">
        <w:rPr>
          <w:sz w:val="20"/>
          <w:szCs w:val="20"/>
        </w:rPr>
        <w:t>California Student Tobacco</w:t>
      </w:r>
      <w:r w:rsidRPr="00806B4D">
        <w:rPr>
          <w:sz w:val="20"/>
          <w:szCs w:val="20"/>
        </w:rPr>
        <w:t xml:space="preserve"> Survey.</w:t>
      </w:r>
      <w:proofErr w:type="gramEnd"/>
      <w:r w:rsidRPr="00806B4D">
        <w:rPr>
          <w:sz w:val="20"/>
          <w:szCs w:val="20"/>
        </w:rPr>
        <w:t xml:space="preserve"> 2002-2016</w:t>
      </w:r>
      <w:r w:rsidRPr="00342748">
        <w:rPr>
          <w:sz w:val="20"/>
          <w:szCs w:val="20"/>
        </w:rPr>
        <w:t xml:space="preserve">. </w:t>
      </w:r>
    </w:p>
    <w:p w14:paraId="2E495061" w14:textId="77777777" w:rsidR="009C27DD" w:rsidRPr="00342748" w:rsidRDefault="00D92949" w:rsidP="00342748">
      <w:pPr>
        <w:pStyle w:val="EndnoteText"/>
        <w:rPr>
          <w:sz w:val="20"/>
          <w:szCs w:val="20"/>
        </w:rPr>
      </w:pPr>
      <w:hyperlink r:id="rId3" w:history="1">
        <w:r w:rsidR="009C27DD" w:rsidRPr="00342748">
          <w:rPr>
            <w:rStyle w:val="Hyperlink"/>
            <w:sz w:val="20"/>
            <w:szCs w:val="20"/>
          </w:rPr>
          <w:t>https://www.cdph.ca.gov/Programs/CCDPHP/DCDIC/CTCB/Pages/SurveyInstrument.aspx</w:t>
        </w:r>
      </w:hyperlink>
    </w:p>
  </w:endnote>
  <w:endnote w:id="9">
    <w:p w14:paraId="4D9D57F4" w14:textId="77777777" w:rsidR="009C27DD" w:rsidRPr="00342748" w:rsidRDefault="009C27DD" w:rsidP="00342748">
      <w:pPr>
        <w:pStyle w:val="EndnoteText"/>
        <w:rPr>
          <w:u w:val="single"/>
        </w:rPr>
      </w:pPr>
      <w:r>
        <w:rPr>
          <w:rStyle w:val="EndnoteReference"/>
        </w:rPr>
        <w:endnoteRef/>
      </w:r>
      <w:r>
        <w:t xml:space="preserve"> </w:t>
      </w:r>
      <w:proofErr w:type="gramStart"/>
      <w:r w:rsidRPr="00342748">
        <w:rPr>
          <w:sz w:val="20"/>
          <w:szCs w:val="20"/>
        </w:rPr>
        <w:t>Centers for Disease Control and Prevention.</w:t>
      </w:r>
      <w:proofErr w:type="gramEnd"/>
      <w:r w:rsidRPr="00342748">
        <w:rPr>
          <w:sz w:val="20"/>
          <w:szCs w:val="20"/>
        </w:rPr>
        <w:t xml:space="preserve"> </w:t>
      </w:r>
      <w:r w:rsidRPr="00342748">
        <w:rPr>
          <w:i/>
          <w:sz w:val="20"/>
          <w:szCs w:val="20"/>
          <w:u w:val="single"/>
        </w:rPr>
        <w:t>United</w:t>
      </w:r>
      <w:r>
        <w:rPr>
          <w:i/>
          <w:sz w:val="20"/>
          <w:szCs w:val="20"/>
          <w:u w:val="single"/>
        </w:rPr>
        <w:t xml:space="preserve"> States cancer statistics: 1999-2010 incidence and mortality web-based report.</w:t>
      </w:r>
      <w:r>
        <w:rPr>
          <w:sz w:val="20"/>
          <w:szCs w:val="20"/>
          <w:u w:val="single"/>
        </w:rPr>
        <w:t xml:space="preserve"> 2013. </w:t>
      </w:r>
      <w:hyperlink r:id="rId4" w:history="1">
        <w:r w:rsidRPr="001740F3">
          <w:rPr>
            <w:rStyle w:val="Hyperlink"/>
            <w:sz w:val="20"/>
            <w:szCs w:val="20"/>
          </w:rPr>
          <w:t>www.cdc.gov/uscs</w:t>
        </w:r>
      </w:hyperlink>
      <w:r>
        <w:rPr>
          <w:sz w:val="20"/>
          <w:szCs w:val="20"/>
          <w:u w:val="single"/>
        </w:rPr>
        <w:t xml:space="preserve">. </w:t>
      </w:r>
    </w:p>
  </w:endnote>
  <w:endnote w:id="10">
    <w:p w14:paraId="284406C1" w14:textId="77777777" w:rsidR="009C27DD" w:rsidRDefault="009C27DD" w:rsidP="00342748">
      <w:pPr>
        <w:pStyle w:val="EndnoteText"/>
      </w:pPr>
      <w:r>
        <w:rPr>
          <w:rStyle w:val="EndnoteReference"/>
        </w:rPr>
        <w:endnoteRef/>
      </w:r>
      <w:r>
        <w:t xml:space="preserve"> </w:t>
      </w:r>
      <w:proofErr w:type="gramStart"/>
      <w:r w:rsidRPr="0026266A">
        <w:rPr>
          <w:sz w:val="20"/>
          <w:szCs w:val="20"/>
        </w:rPr>
        <w:t>Centers for Diseas</w:t>
      </w:r>
      <w:r>
        <w:rPr>
          <w:sz w:val="20"/>
          <w:szCs w:val="20"/>
        </w:rPr>
        <w:t>e</w:t>
      </w:r>
      <w:r w:rsidRPr="0026266A">
        <w:rPr>
          <w:sz w:val="20"/>
          <w:szCs w:val="20"/>
        </w:rPr>
        <w:t xml:space="preserve"> Control and Prevention.</w:t>
      </w:r>
      <w:proofErr w:type="gramEnd"/>
      <w:r w:rsidRPr="0026266A">
        <w:rPr>
          <w:sz w:val="20"/>
          <w:szCs w:val="20"/>
        </w:rPr>
        <w:t xml:space="preserve"> </w:t>
      </w:r>
      <w:r w:rsidRPr="0026266A">
        <w:rPr>
          <w:i/>
          <w:sz w:val="20"/>
          <w:szCs w:val="20"/>
        </w:rPr>
        <w:t>Underlying cause of death 1999-2010.</w:t>
      </w:r>
      <w:r w:rsidRPr="0026266A">
        <w:rPr>
          <w:sz w:val="20"/>
          <w:szCs w:val="20"/>
        </w:rPr>
        <w:t xml:space="preserve"> 2012. </w:t>
      </w:r>
      <w:proofErr w:type="gramStart"/>
      <w:r w:rsidRPr="0026266A">
        <w:rPr>
          <w:sz w:val="20"/>
          <w:szCs w:val="20"/>
        </w:rPr>
        <w:t>wonder.cdc.gov</w:t>
      </w:r>
      <w:proofErr w:type="gramEnd"/>
      <w:r w:rsidRPr="0026266A">
        <w:rPr>
          <w:sz w:val="20"/>
          <w:szCs w:val="20"/>
        </w:rPr>
        <w:t>/ucd-icd10.html</w:t>
      </w:r>
    </w:p>
  </w:endnote>
  <w:endnote w:id="11">
    <w:p w14:paraId="54C3EF28" w14:textId="77777777" w:rsidR="009C27DD" w:rsidRPr="00DA4FC0" w:rsidRDefault="009C27DD" w:rsidP="00342748">
      <w:pPr>
        <w:pStyle w:val="EndnoteText"/>
      </w:pPr>
      <w:r>
        <w:rPr>
          <w:rStyle w:val="EndnoteReference"/>
        </w:rPr>
        <w:endnoteRef/>
      </w:r>
      <w:r>
        <w:t xml:space="preserve"> </w:t>
      </w:r>
      <w:r w:rsidRPr="00342748">
        <w:rPr>
          <w:sz w:val="20"/>
          <w:szCs w:val="20"/>
        </w:rPr>
        <w:t xml:space="preserve">California Department of Public Health, California Tobacco Control Program. </w:t>
      </w:r>
      <w:r w:rsidRPr="00342748">
        <w:rPr>
          <w:i/>
          <w:sz w:val="20"/>
          <w:szCs w:val="20"/>
        </w:rPr>
        <w:t>Lives Saved.</w:t>
      </w:r>
      <w:r w:rsidRPr="00342748">
        <w:rPr>
          <w:sz w:val="20"/>
          <w:szCs w:val="20"/>
        </w:rPr>
        <w:t xml:space="preserve"> Sacramento, CA. 2008.</w:t>
      </w:r>
      <w:r>
        <w:t xml:space="preserve"> </w:t>
      </w:r>
    </w:p>
  </w:endnote>
  <w:endnote w:id="12">
    <w:p w14:paraId="7BBAB196" w14:textId="77777777" w:rsidR="009C27DD" w:rsidRPr="00DA4FC0" w:rsidRDefault="009C27DD" w:rsidP="00342748">
      <w:pPr>
        <w:pStyle w:val="EndnoteText"/>
      </w:pPr>
      <w:r>
        <w:rPr>
          <w:rStyle w:val="EndnoteReference"/>
        </w:rPr>
        <w:endnoteRef/>
      </w:r>
      <w:r>
        <w:t xml:space="preserve"> </w:t>
      </w:r>
      <w:proofErr w:type="gramStart"/>
      <w:r w:rsidRPr="00342748">
        <w:rPr>
          <w:sz w:val="20"/>
          <w:szCs w:val="20"/>
        </w:rPr>
        <w:t xml:space="preserve">Lightwood, J., </w:t>
      </w:r>
      <w:proofErr w:type="spellStart"/>
      <w:r w:rsidRPr="00342748">
        <w:rPr>
          <w:sz w:val="20"/>
          <w:szCs w:val="20"/>
        </w:rPr>
        <w:t>Glants</w:t>
      </w:r>
      <w:proofErr w:type="spellEnd"/>
      <w:r w:rsidRPr="00342748">
        <w:rPr>
          <w:sz w:val="20"/>
          <w:szCs w:val="20"/>
        </w:rPr>
        <w:t>, S.</w:t>
      </w:r>
      <w:proofErr w:type="gramEnd"/>
      <w:r w:rsidRPr="00342748">
        <w:rPr>
          <w:sz w:val="20"/>
          <w:szCs w:val="20"/>
        </w:rPr>
        <w:t xml:space="preserve"> </w:t>
      </w:r>
      <w:r w:rsidRPr="00342748">
        <w:rPr>
          <w:i/>
          <w:sz w:val="20"/>
          <w:szCs w:val="20"/>
        </w:rPr>
        <w:t xml:space="preserve">The effect of the California tobacco control program smoking prevalence, cigarette consumption, and healthcare costs: 1989-2008. </w:t>
      </w:r>
      <w:r w:rsidRPr="00DA4FC0">
        <w:rPr>
          <w:sz w:val="20"/>
          <w:szCs w:val="20"/>
        </w:rPr>
        <w:t xml:space="preserve"> </w:t>
      </w:r>
      <w:proofErr w:type="spellStart"/>
      <w:r w:rsidRPr="00DA4FC0">
        <w:rPr>
          <w:sz w:val="20"/>
          <w:szCs w:val="20"/>
        </w:rPr>
        <w:t>PLoS</w:t>
      </w:r>
      <w:proofErr w:type="spellEnd"/>
      <w:r w:rsidRPr="00342748">
        <w:rPr>
          <w:sz w:val="20"/>
          <w:szCs w:val="20"/>
        </w:rPr>
        <w:t xml:space="preserve"> One. 8 e47145. 2013.</w:t>
      </w:r>
      <w:r>
        <w:t xml:space="preserve"> </w:t>
      </w:r>
    </w:p>
  </w:endnote>
  <w:endnote w:id="13">
    <w:p w14:paraId="443BC273" w14:textId="77777777" w:rsidR="009C27DD" w:rsidRPr="00342748" w:rsidRDefault="009C27DD" w:rsidP="00342748">
      <w:pPr>
        <w:pStyle w:val="EndnoteText"/>
        <w:rPr>
          <w:sz w:val="20"/>
          <w:szCs w:val="20"/>
        </w:rPr>
      </w:pPr>
      <w:r>
        <w:rPr>
          <w:rStyle w:val="EndnoteReference"/>
        </w:rPr>
        <w:endnoteRef/>
      </w:r>
      <w:r>
        <w:t xml:space="preserve"> </w:t>
      </w:r>
      <w:r w:rsidRPr="00342748">
        <w:rPr>
          <w:sz w:val="20"/>
          <w:szCs w:val="20"/>
        </w:rPr>
        <w:t xml:space="preserve">See </w:t>
      </w:r>
      <w:r w:rsidRPr="00342748">
        <w:rPr>
          <w:i/>
          <w:sz w:val="20"/>
          <w:szCs w:val="20"/>
        </w:rPr>
        <w:t>Best Practices for Comprehensive Tobacco Control Programs</w:t>
      </w:r>
      <w:r w:rsidRPr="00342748">
        <w:rPr>
          <w:sz w:val="20"/>
          <w:szCs w:val="20"/>
        </w:rPr>
        <w:t xml:space="preserve">, Centers for Disease Control and Prevention. </w:t>
      </w:r>
      <w:r w:rsidRPr="00342748">
        <w:rPr>
          <w:i/>
          <w:sz w:val="20"/>
          <w:szCs w:val="20"/>
        </w:rPr>
        <w:t xml:space="preserve"> </w:t>
      </w:r>
      <w:hyperlink r:id="rId5" w:history="1">
        <w:r w:rsidRPr="00342748">
          <w:rPr>
            <w:rStyle w:val="Hyperlink"/>
            <w:sz w:val="20"/>
            <w:szCs w:val="20"/>
          </w:rPr>
          <w:t>https://www.cdc.gov/tobacco/stateandcommunity/best_practices/pdfs/2014/comprehensive.pdf</w:t>
        </w:r>
      </w:hyperlink>
      <w:r w:rsidRPr="00342748">
        <w:rPr>
          <w:sz w:val="20"/>
          <w:szCs w:val="20"/>
        </w:rPr>
        <w:t xml:space="preserve">.  Retrieved December 5, 2017. </w:t>
      </w:r>
    </w:p>
  </w:endnote>
  <w:endnote w:id="14">
    <w:p w14:paraId="439F9277" w14:textId="77777777" w:rsidR="009C27DD" w:rsidRDefault="009C27DD" w:rsidP="00342748">
      <w:pPr>
        <w:pStyle w:val="EndnoteText"/>
      </w:pPr>
      <w:r>
        <w:rPr>
          <w:rStyle w:val="EndnoteReference"/>
        </w:rPr>
        <w:endnoteRef/>
      </w:r>
      <w:r>
        <w:t xml:space="preserve"> </w:t>
      </w:r>
      <w:r w:rsidRPr="00342748">
        <w:rPr>
          <w:sz w:val="20"/>
          <w:szCs w:val="20"/>
        </w:rPr>
        <w:t xml:space="preserve">See </w:t>
      </w:r>
      <w:r w:rsidRPr="00342748">
        <w:rPr>
          <w:i/>
          <w:sz w:val="20"/>
          <w:szCs w:val="20"/>
        </w:rPr>
        <w:t>Prevention Status Reports</w:t>
      </w:r>
      <w:r w:rsidRPr="00342748">
        <w:rPr>
          <w:sz w:val="20"/>
          <w:szCs w:val="20"/>
        </w:rPr>
        <w:t xml:space="preserve">, Centers for Disease Control and Prevention. </w:t>
      </w:r>
      <w:hyperlink r:id="rId6" w:history="1">
        <w:r w:rsidRPr="00342748">
          <w:rPr>
            <w:rStyle w:val="Hyperlink"/>
            <w:sz w:val="20"/>
            <w:szCs w:val="20"/>
          </w:rPr>
          <w:t>https://www.cdc.gov/psr/index.html</w:t>
        </w:r>
      </w:hyperlink>
      <w:r w:rsidRPr="00342748">
        <w:rPr>
          <w:sz w:val="20"/>
          <w:szCs w:val="20"/>
        </w:rPr>
        <w:t>. Retrieved on December 5, 2018.</w:t>
      </w:r>
      <w:r>
        <w:t xml:space="preserve"> </w:t>
      </w:r>
    </w:p>
  </w:endnote>
  <w:endnote w:id="15">
    <w:p w14:paraId="5BC2AD28" w14:textId="77777777" w:rsidR="009C27DD" w:rsidRDefault="009C27DD" w:rsidP="00342748">
      <w:pPr>
        <w:pStyle w:val="EndnoteText"/>
      </w:pPr>
      <w:r>
        <w:rPr>
          <w:rStyle w:val="EndnoteReference"/>
        </w:rPr>
        <w:endnoteRef/>
      </w:r>
      <w:r>
        <w:t xml:space="preserve"> </w:t>
      </w:r>
      <w:r w:rsidRPr="00342748">
        <w:rPr>
          <w:sz w:val="20"/>
          <w:szCs w:val="20"/>
        </w:rPr>
        <w:t xml:space="preserve">US Department of Health and Human Services. </w:t>
      </w:r>
      <w:r w:rsidRPr="00342748">
        <w:rPr>
          <w:i/>
          <w:sz w:val="20"/>
          <w:szCs w:val="20"/>
        </w:rPr>
        <w:t>The Health Consequences of Smoking—50 Years of Progress: A Report of the Surgeon General</w:t>
      </w:r>
      <w:r w:rsidRPr="00342748">
        <w:rPr>
          <w:sz w:val="20"/>
          <w:szCs w:val="20"/>
        </w:rPr>
        <w:t>. Rockville, MD: US Department of Health and Human Services; 2014. https://www.surgeongeneral.gov/library/reports/50-years-of-progress/index.html</w:t>
      </w:r>
    </w:p>
  </w:endnote>
  <w:endnote w:id="16">
    <w:p w14:paraId="5679ADC6" w14:textId="77777777" w:rsidR="009C27DD" w:rsidRPr="00342748" w:rsidRDefault="009C27DD" w:rsidP="00342748">
      <w:pPr>
        <w:pStyle w:val="EndnoteText"/>
        <w:rPr>
          <w:sz w:val="20"/>
          <w:szCs w:val="20"/>
        </w:rPr>
      </w:pPr>
      <w:r>
        <w:rPr>
          <w:rStyle w:val="EndnoteReference"/>
        </w:rPr>
        <w:endnoteRef/>
      </w:r>
      <w:r>
        <w:t xml:space="preserve"> </w:t>
      </w:r>
      <w:r w:rsidRPr="00342748">
        <w:rPr>
          <w:sz w:val="20"/>
          <w:szCs w:val="20"/>
        </w:rPr>
        <w:t xml:space="preserve">CDC. </w:t>
      </w:r>
      <w:r w:rsidRPr="00342748">
        <w:rPr>
          <w:i/>
          <w:sz w:val="20"/>
          <w:szCs w:val="20"/>
        </w:rPr>
        <w:t>Best Practices for Comprehensive Tobacco Control Programs—2014.</w:t>
      </w:r>
      <w:r w:rsidRPr="00342748">
        <w:rPr>
          <w:sz w:val="20"/>
          <w:szCs w:val="20"/>
        </w:rPr>
        <w:t xml:space="preserve"> Atlanta, GA: US Department of Health and Human Services; 2014.</w:t>
      </w:r>
    </w:p>
  </w:endnote>
  <w:endnote w:id="17">
    <w:p w14:paraId="150C6165" w14:textId="77777777" w:rsidR="009C27DD" w:rsidRPr="001D2E39" w:rsidRDefault="009C27DD" w:rsidP="00342748">
      <w:pPr>
        <w:pStyle w:val="EndnoteText"/>
      </w:pPr>
      <w:r>
        <w:rPr>
          <w:rStyle w:val="EndnoteReference"/>
        </w:rPr>
        <w:endnoteRef/>
      </w:r>
      <w:r>
        <w:t xml:space="preserve"> </w:t>
      </w:r>
      <w:proofErr w:type="gramStart"/>
      <w:r w:rsidRPr="00342748">
        <w:rPr>
          <w:sz w:val="20"/>
          <w:szCs w:val="20"/>
        </w:rPr>
        <w:t>Institute of Medicine.</w:t>
      </w:r>
      <w:proofErr w:type="gramEnd"/>
      <w:r w:rsidRPr="00342748">
        <w:rPr>
          <w:sz w:val="20"/>
          <w:szCs w:val="20"/>
        </w:rPr>
        <w:t xml:space="preserve"> </w:t>
      </w:r>
      <w:r w:rsidRPr="00342748">
        <w:rPr>
          <w:i/>
          <w:sz w:val="20"/>
          <w:szCs w:val="20"/>
        </w:rPr>
        <w:t>Ending the Tobacco Problem: A Blueprint for the Nation.</w:t>
      </w:r>
      <w:r w:rsidRPr="00342748">
        <w:rPr>
          <w:sz w:val="20"/>
          <w:szCs w:val="20"/>
        </w:rPr>
        <w:t xml:space="preserve"> Washington, DC: National Academies Press; 2007.</w:t>
      </w:r>
    </w:p>
  </w:endnote>
  <w:endnote w:id="18">
    <w:p w14:paraId="170118B7" w14:textId="77777777" w:rsidR="009C27DD" w:rsidRPr="001D2E39" w:rsidRDefault="009C27DD" w:rsidP="00342748">
      <w:pPr>
        <w:pStyle w:val="EndnoteText"/>
      </w:pPr>
      <w:r>
        <w:rPr>
          <w:rStyle w:val="EndnoteReference"/>
        </w:rPr>
        <w:endnoteRef/>
      </w:r>
      <w:r>
        <w:t xml:space="preserve"> </w:t>
      </w:r>
      <w:proofErr w:type="gramStart"/>
      <w:r w:rsidRPr="00342748">
        <w:rPr>
          <w:sz w:val="20"/>
          <w:szCs w:val="20"/>
        </w:rPr>
        <w:t>World Health Organization.</w:t>
      </w:r>
      <w:proofErr w:type="gramEnd"/>
      <w:r w:rsidRPr="00342748">
        <w:rPr>
          <w:sz w:val="20"/>
          <w:szCs w:val="20"/>
        </w:rPr>
        <w:t xml:space="preserve"> </w:t>
      </w:r>
      <w:r w:rsidRPr="00342748">
        <w:rPr>
          <w:i/>
          <w:sz w:val="20"/>
          <w:szCs w:val="20"/>
        </w:rPr>
        <w:t xml:space="preserve">WHO Report on the Global Tobacco Epidemic, 2008—The MPOWER </w:t>
      </w:r>
      <w:proofErr w:type="gramStart"/>
      <w:r w:rsidRPr="00342748">
        <w:rPr>
          <w:i/>
          <w:sz w:val="20"/>
          <w:szCs w:val="20"/>
        </w:rPr>
        <w:t>Package.</w:t>
      </w:r>
      <w:proofErr w:type="gramEnd"/>
      <w:r w:rsidRPr="00342748">
        <w:rPr>
          <w:i/>
          <w:sz w:val="20"/>
          <w:szCs w:val="20"/>
        </w:rPr>
        <w:t xml:space="preserve"> </w:t>
      </w:r>
      <w:r w:rsidRPr="00342748">
        <w:rPr>
          <w:sz w:val="20"/>
          <w:szCs w:val="20"/>
        </w:rPr>
        <w:t xml:space="preserve">Geneva, Switzerland: World Health Organization; 2008. </w:t>
      </w:r>
    </w:p>
  </w:endnote>
  <w:endnote w:id="19">
    <w:p w14:paraId="201DE0BA" w14:textId="77777777" w:rsidR="009C27DD" w:rsidRPr="001D2E39" w:rsidRDefault="009C27DD" w:rsidP="00342748">
      <w:pPr>
        <w:pStyle w:val="EndnoteText"/>
      </w:pPr>
      <w:r>
        <w:rPr>
          <w:rStyle w:val="EndnoteReference"/>
        </w:rPr>
        <w:endnoteRef/>
      </w:r>
      <w:r>
        <w:t xml:space="preserve"> </w:t>
      </w:r>
      <w:r w:rsidRPr="00342748">
        <w:rPr>
          <w:sz w:val="20"/>
          <w:szCs w:val="20"/>
        </w:rPr>
        <w:t xml:space="preserve">The Task Force on Community Preventive Services. </w:t>
      </w:r>
      <w:r w:rsidRPr="00342748">
        <w:rPr>
          <w:i/>
          <w:sz w:val="20"/>
          <w:szCs w:val="20"/>
        </w:rPr>
        <w:t xml:space="preserve">Part 1: Changing Risk Behaviors and Addressing Environmental Challenges. </w:t>
      </w:r>
      <w:proofErr w:type="gramStart"/>
      <w:r w:rsidRPr="00342748">
        <w:rPr>
          <w:i/>
          <w:sz w:val="20"/>
          <w:szCs w:val="20"/>
        </w:rPr>
        <w:t>Chapter 1—Tobacco.</w:t>
      </w:r>
      <w:proofErr w:type="gramEnd"/>
      <w:r w:rsidRPr="00342748">
        <w:rPr>
          <w:i/>
          <w:sz w:val="20"/>
          <w:szCs w:val="20"/>
        </w:rPr>
        <w:t xml:space="preserve"> </w:t>
      </w:r>
      <w:r w:rsidRPr="00342748">
        <w:rPr>
          <w:sz w:val="20"/>
          <w:szCs w:val="20"/>
        </w:rPr>
        <w:t>In: the Guide to Community Preventive Services: What Works to Promote Health? New York, NY: Oxford University Press: 2005.</w:t>
      </w:r>
    </w:p>
  </w:endnote>
  <w:endnote w:id="20">
    <w:p w14:paraId="3542F48C" w14:textId="77777777" w:rsidR="009C27DD" w:rsidRPr="00342748" w:rsidRDefault="009C27DD" w:rsidP="00342748">
      <w:pPr>
        <w:pStyle w:val="EndnoteText"/>
        <w:rPr>
          <w:sz w:val="20"/>
          <w:szCs w:val="20"/>
        </w:rPr>
      </w:pPr>
      <w:r>
        <w:rPr>
          <w:rStyle w:val="EndnoteReference"/>
        </w:rPr>
        <w:endnoteRef/>
      </w:r>
      <w:r>
        <w:t xml:space="preserve"> </w:t>
      </w:r>
      <w:r w:rsidRPr="0026266A">
        <w:rPr>
          <w:sz w:val="20"/>
          <w:szCs w:val="20"/>
        </w:rPr>
        <w:t xml:space="preserve">CDC. </w:t>
      </w:r>
      <w:r w:rsidRPr="0026266A">
        <w:rPr>
          <w:i/>
          <w:sz w:val="20"/>
          <w:szCs w:val="20"/>
        </w:rPr>
        <w:t>Best Practices for Comprehensive Tobacco Control Programs—2014.</w:t>
      </w:r>
      <w:r w:rsidRPr="0026266A">
        <w:rPr>
          <w:sz w:val="20"/>
          <w:szCs w:val="20"/>
        </w:rPr>
        <w:t xml:space="preserve"> Atlanta, GA: US Department of Health and Human Services; 2014.</w:t>
      </w:r>
    </w:p>
  </w:endnote>
  <w:endnote w:id="21">
    <w:p w14:paraId="64AC6271" w14:textId="77777777" w:rsidR="009C27DD" w:rsidRDefault="009C27DD" w:rsidP="00342748">
      <w:pPr>
        <w:pStyle w:val="EndnoteText"/>
      </w:pPr>
      <w:r>
        <w:rPr>
          <w:rStyle w:val="EndnoteReference"/>
        </w:rPr>
        <w:endnoteRef/>
      </w:r>
      <w:r>
        <w:t xml:space="preserve"> </w:t>
      </w:r>
      <w:r w:rsidRPr="0026266A">
        <w:rPr>
          <w:sz w:val="20"/>
          <w:szCs w:val="20"/>
        </w:rPr>
        <w:t xml:space="preserve">US Department of Health and Human Services. </w:t>
      </w:r>
      <w:r w:rsidRPr="0026266A">
        <w:rPr>
          <w:i/>
          <w:sz w:val="20"/>
          <w:szCs w:val="20"/>
        </w:rPr>
        <w:t>The Health Consequences of Smoking—50 Years of Progress: A Report of the Surgeon General</w:t>
      </w:r>
      <w:r w:rsidRPr="0026266A">
        <w:rPr>
          <w:sz w:val="20"/>
          <w:szCs w:val="20"/>
        </w:rPr>
        <w:t>. Rockville, MD: US Department of Health and Human Services; 2014. https://www.surgeongeneral.gov/library/reports/50-years-of-progress/index.html</w:t>
      </w:r>
    </w:p>
  </w:endnote>
  <w:endnote w:id="22">
    <w:p w14:paraId="4449831C" w14:textId="77777777" w:rsidR="009C27DD" w:rsidRDefault="009C27DD" w:rsidP="00342748">
      <w:pPr>
        <w:pStyle w:val="EndnoteText"/>
      </w:pPr>
      <w:r>
        <w:rPr>
          <w:rStyle w:val="EndnoteReference"/>
        </w:rPr>
        <w:endnoteRef/>
      </w:r>
      <w:r>
        <w:t xml:space="preserve"> </w:t>
      </w:r>
      <w:r w:rsidRPr="0026266A">
        <w:rPr>
          <w:sz w:val="20"/>
          <w:szCs w:val="20"/>
        </w:rPr>
        <w:t xml:space="preserve">CDC. </w:t>
      </w:r>
      <w:r w:rsidRPr="0026266A">
        <w:rPr>
          <w:i/>
          <w:sz w:val="20"/>
          <w:szCs w:val="20"/>
        </w:rPr>
        <w:t>Best Practices for Comprehensive Tobacco Control Programs—2014.</w:t>
      </w:r>
      <w:r w:rsidRPr="0026266A">
        <w:rPr>
          <w:sz w:val="20"/>
          <w:szCs w:val="20"/>
        </w:rPr>
        <w:t xml:space="preserve"> Atlanta, GA: US Department of Health and Human Services; 2014</w:t>
      </w:r>
    </w:p>
  </w:endnote>
  <w:endnote w:id="23">
    <w:p w14:paraId="53379EE4" w14:textId="77777777" w:rsidR="009C27DD" w:rsidRDefault="009C27DD" w:rsidP="00342748">
      <w:pPr>
        <w:pStyle w:val="EndnoteText"/>
      </w:pPr>
      <w:r>
        <w:rPr>
          <w:rStyle w:val="EndnoteReference"/>
        </w:rPr>
        <w:endnoteRef/>
      </w:r>
      <w:r>
        <w:t xml:space="preserve"> </w:t>
      </w:r>
      <w:proofErr w:type="gramStart"/>
      <w:r w:rsidRPr="00342748">
        <w:rPr>
          <w:sz w:val="20"/>
          <w:szCs w:val="20"/>
        </w:rPr>
        <w:t>Institute of Medicine.</w:t>
      </w:r>
      <w:proofErr w:type="gramEnd"/>
      <w:r w:rsidRPr="00342748">
        <w:rPr>
          <w:sz w:val="20"/>
          <w:szCs w:val="20"/>
        </w:rPr>
        <w:t xml:space="preserve"> </w:t>
      </w:r>
      <w:r w:rsidRPr="00342748">
        <w:rPr>
          <w:i/>
          <w:sz w:val="20"/>
          <w:szCs w:val="20"/>
        </w:rPr>
        <w:t>Ending the Tobacco Problem: A Blueprint for the Nation.</w:t>
      </w:r>
      <w:r w:rsidRPr="00342748">
        <w:rPr>
          <w:sz w:val="20"/>
          <w:szCs w:val="20"/>
        </w:rPr>
        <w:t xml:space="preserve"> Washington, DC: National Academies Press; 2007.</w:t>
      </w:r>
    </w:p>
  </w:endnote>
  <w:endnote w:id="24">
    <w:p w14:paraId="17D762E1" w14:textId="77777777" w:rsidR="009C27DD" w:rsidRPr="00452263" w:rsidRDefault="009C27DD" w:rsidP="00342748">
      <w:pPr>
        <w:pStyle w:val="EndnoteText"/>
        <w:rPr>
          <w:sz w:val="20"/>
          <w:szCs w:val="20"/>
        </w:rPr>
      </w:pPr>
      <w:r>
        <w:rPr>
          <w:rStyle w:val="EndnoteReference"/>
        </w:rPr>
        <w:endnoteRef/>
      </w:r>
      <w:r>
        <w:t xml:space="preserve"> </w:t>
      </w:r>
      <w:proofErr w:type="gramStart"/>
      <w:r w:rsidRPr="00342748">
        <w:rPr>
          <w:sz w:val="20"/>
          <w:szCs w:val="20"/>
        </w:rPr>
        <w:t>World Health Organization.</w:t>
      </w:r>
      <w:proofErr w:type="gramEnd"/>
      <w:r w:rsidRPr="00342748">
        <w:rPr>
          <w:sz w:val="20"/>
          <w:szCs w:val="20"/>
        </w:rPr>
        <w:t xml:space="preserve"> </w:t>
      </w:r>
      <w:r w:rsidRPr="00342748">
        <w:rPr>
          <w:i/>
          <w:sz w:val="20"/>
          <w:szCs w:val="20"/>
        </w:rPr>
        <w:t xml:space="preserve">WHO Report on the Global Tobacco Epidemic, 2008—The MPOWER </w:t>
      </w:r>
      <w:proofErr w:type="gramStart"/>
      <w:r w:rsidRPr="00342748">
        <w:rPr>
          <w:i/>
          <w:sz w:val="20"/>
          <w:szCs w:val="20"/>
        </w:rPr>
        <w:t>Package.</w:t>
      </w:r>
      <w:proofErr w:type="gramEnd"/>
      <w:r w:rsidRPr="00342748">
        <w:rPr>
          <w:i/>
          <w:sz w:val="20"/>
          <w:szCs w:val="20"/>
        </w:rPr>
        <w:t xml:space="preserve"> </w:t>
      </w:r>
      <w:r w:rsidRPr="00342748">
        <w:rPr>
          <w:sz w:val="20"/>
          <w:szCs w:val="20"/>
        </w:rPr>
        <w:t>Geneva, Switzerland: World Health Organization; 2008</w:t>
      </w:r>
      <w:r>
        <w:rPr>
          <w:sz w:val="20"/>
          <w:szCs w:val="20"/>
        </w:rPr>
        <w:t>.</w:t>
      </w:r>
    </w:p>
  </w:endnote>
  <w:endnote w:id="25">
    <w:p w14:paraId="3CF9013E" w14:textId="77777777" w:rsidR="009C27DD" w:rsidRDefault="009C27DD" w:rsidP="00342748">
      <w:pPr>
        <w:pStyle w:val="EndnoteText"/>
      </w:pPr>
      <w:r>
        <w:rPr>
          <w:rStyle w:val="EndnoteReference"/>
        </w:rPr>
        <w:endnoteRef/>
      </w:r>
      <w:r>
        <w:t xml:space="preserve"> </w:t>
      </w:r>
      <w:r w:rsidRPr="00342748">
        <w:rPr>
          <w:sz w:val="20"/>
          <w:szCs w:val="20"/>
        </w:rPr>
        <w:t xml:space="preserve">The Task Force on Community Preventive Services. </w:t>
      </w:r>
      <w:r w:rsidRPr="00342748">
        <w:rPr>
          <w:i/>
          <w:sz w:val="20"/>
          <w:szCs w:val="20"/>
        </w:rPr>
        <w:t xml:space="preserve">Part 1: Changing Risk Behaviors and Addressing Environmental Challenges. </w:t>
      </w:r>
      <w:proofErr w:type="gramStart"/>
      <w:r w:rsidRPr="00342748">
        <w:rPr>
          <w:i/>
          <w:sz w:val="20"/>
          <w:szCs w:val="20"/>
        </w:rPr>
        <w:t>Chapter 1—Tobacco.</w:t>
      </w:r>
      <w:proofErr w:type="gramEnd"/>
      <w:r w:rsidRPr="00342748">
        <w:rPr>
          <w:i/>
          <w:sz w:val="20"/>
          <w:szCs w:val="20"/>
        </w:rPr>
        <w:t xml:space="preserve"> </w:t>
      </w:r>
      <w:r w:rsidRPr="00342748">
        <w:rPr>
          <w:sz w:val="20"/>
          <w:szCs w:val="20"/>
        </w:rPr>
        <w:t>In: the Guide to Community Preventive Services: What Works to Promote Health? New York, NY: Oxford University Press: 2005.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XLVJM E+ Futura">
    <w:altName w:val="XLVJM E+ Futura"/>
    <w:panose1 w:val="00000000000000000000"/>
    <w:charset w:val="00"/>
    <w:family w:val="swiss"/>
    <w:notTrueType/>
    <w:pitch w:val="default"/>
    <w:sig w:usb0="00000003" w:usb1="00000000" w:usb2="00000000" w:usb3="00000000" w:csb0="00000001" w:csb1="00000000"/>
  </w:font>
  <w:font w:name="ZapfHumanist601BT-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596DB" w14:textId="77777777" w:rsidR="009C27DD" w:rsidRDefault="009C27DD" w:rsidP="00A43BEF">
      <w:r>
        <w:separator/>
      </w:r>
    </w:p>
  </w:footnote>
  <w:footnote w:type="continuationSeparator" w:id="0">
    <w:p w14:paraId="1549827F" w14:textId="77777777" w:rsidR="009C27DD" w:rsidRDefault="009C27DD" w:rsidP="00A43B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0406"/>
    <w:multiLevelType w:val="multilevel"/>
    <w:tmpl w:val="13A02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4A15DA"/>
    <w:multiLevelType w:val="hybridMultilevel"/>
    <w:tmpl w:val="BCDAB1E6"/>
    <w:lvl w:ilvl="0" w:tplc="133C3800">
      <w:start w:val="1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825F37"/>
    <w:multiLevelType w:val="hybridMultilevel"/>
    <w:tmpl w:val="0F60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F314B0"/>
    <w:multiLevelType w:val="multilevel"/>
    <w:tmpl w:val="C8340F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57576A30"/>
    <w:multiLevelType w:val="hybridMultilevel"/>
    <w:tmpl w:val="6D18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4D3233"/>
    <w:multiLevelType w:val="hybridMultilevel"/>
    <w:tmpl w:val="24FA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6075CF"/>
    <w:multiLevelType w:val="hybridMultilevel"/>
    <w:tmpl w:val="0174F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3"/>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ce Ashe">
    <w15:presenceInfo w15:providerId="AD" w15:userId="S-1-5-21-3249866925-2929163265-1819928408-1144"/>
  </w15:person>
  <w15:person w15:author="Mimi Torres">
    <w15:presenceInfo w15:providerId="AD" w15:userId="S-1-5-21-3249866925-2929163265-1819928408-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FD"/>
    <w:rsid w:val="000061B6"/>
    <w:rsid w:val="00061384"/>
    <w:rsid w:val="00091A06"/>
    <w:rsid w:val="000E3287"/>
    <w:rsid w:val="000F76E6"/>
    <w:rsid w:val="00103681"/>
    <w:rsid w:val="001058F3"/>
    <w:rsid w:val="00193A28"/>
    <w:rsid w:val="001A0F2C"/>
    <w:rsid w:val="001C39FD"/>
    <w:rsid w:val="001D0EDE"/>
    <w:rsid w:val="001D2E39"/>
    <w:rsid w:val="00214C29"/>
    <w:rsid w:val="00225B7D"/>
    <w:rsid w:val="00332E83"/>
    <w:rsid w:val="00336B59"/>
    <w:rsid w:val="00342748"/>
    <w:rsid w:val="003924F3"/>
    <w:rsid w:val="003C7BFF"/>
    <w:rsid w:val="003F3E27"/>
    <w:rsid w:val="004043E3"/>
    <w:rsid w:val="00406ABF"/>
    <w:rsid w:val="00411E77"/>
    <w:rsid w:val="0044415D"/>
    <w:rsid w:val="00452263"/>
    <w:rsid w:val="0046445C"/>
    <w:rsid w:val="004878EB"/>
    <w:rsid w:val="00493180"/>
    <w:rsid w:val="005025D3"/>
    <w:rsid w:val="00563DC0"/>
    <w:rsid w:val="005A6BB1"/>
    <w:rsid w:val="00687B19"/>
    <w:rsid w:val="0069754C"/>
    <w:rsid w:val="006E470C"/>
    <w:rsid w:val="007A4C8A"/>
    <w:rsid w:val="007C65A5"/>
    <w:rsid w:val="00806B4D"/>
    <w:rsid w:val="00856593"/>
    <w:rsid w:val="00861514"/>
    <w:rsid w:val="008722F4"/>
    <w:rsid w:val="00891159"/>
    <w:rsid w:val="008A0C88"/>
    <w:rsid w:val="009749DE"/>
    <w:rsid w:val="00987F63"/>
    <w:rsid w:val="009C27DD"/>
    <w:rsid w:val="009F1EB1"/>
    <w:rsid w:val="00A43BEF"/>
    <w:rsid w:val="00A52E32"/>
    <w:rsid w:val="00A562C7"/>
    <w:rsid w:val="00AD58F4"/>
    <w:rsid w:val="00AE412F"/>
    <w:rsid w:val="00B379C5"/>
    <w:rsid w:val="00B37FEF"/>
    <w:rsid w:val="00B6693D"/>
    <w:rsid w:val="00B749D5"/>
    <w:rsid w:val="00B74C71"/>
    <w:rsid w:val="00B82E8F"/>
    <w:rsid w:val="00BD696B"/>
    <w:rsid w:val="00BE29A5"/>
    <w:rsid w:val="00BE3ACE"/>
    <w:rsid w:val="00BE6F86"/>
    <w:rsid w:val="00BF25C8"/>
    <w:rsid w:val="00C2000B"/>
    <w:rsid w:val="00C45D57"/>
    <w:rsid w:val="00C93888"/>
    <w:rsid w:val="00D32021"/>
    <w:rsid w:val="00D92949"/>
    <w:rsid w:val="00DA4FC0"/>
    <w:rsid w:val="00DD32D6"/>
    <w:rsid w:val="00DD4211"/>
    <w:rsid w:val="00DD5E37"/>
    <w:rsid w:val="00E22F80"/>
    <w:rsid w:val="00E51953"/>
    <w:rsid w:val="00E578AB"/>
    <w:rsid w:val="00E651A4"/>
    <w:rsid w:val="00E83445"/>
    <w:rsid w:val="00EB1316"/>
    <w:rsid w:val="00EF02A8"/>
    <w:rsid w:val="00F57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7761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43BEF"/>
  </w:style>
  <w:style w:type="character" w:customStyle="1" w:styleId="EndnoteTextChar">
    <w:name w:val="Endnote Text Char"/>
    <w:basedOn w:val="DefaultParagraphFont"/>
    <w:link w:val="EndnoteText"/>
    <w:uiPriority w:val="99"/>
    <w:rsid w:val="00A43BEF"/>
  </w:style>
  <w:style w:type="character" w:styleId="EndnoteReference">
    <w:name w:val="endnote reference"/>
    <w:basedOn w:val="DefaultParagraphFont"/>
    <w:uiPriority w:val="99"/>
    <w:unhideWhenUsed/>
    <w:rsid w:val="00A43BEF"/>
    <w:rPr>
      <w:vertAlign w:val="superscript"/>
    </w:rPr>
  </w:style>
  <w:style w:type="paragraph" w:styleId="ListParagraph">
    <w:name w:val="List Paragraph"/>
    <w:basedOn w:val="Normal"/>
    <w:uiPriority w:val="34"/>
    <w:qFormat/>
    <w:rsid w:val="00BE3ACE"/>
    <w:pPr>
      <w:ind w:left="720"/>
      <w:contextualSpacing/>
    </w:pPr>
  </w:style>
  <w:style w:type="character" w:styleId="CommentReference">
    <w:name w:val="annotation reference"/>
    <w:basedOn w:val="DefaultParagraphFont"/>
    <w:uiPriority w:val="99"/>
    <w:semiHidden/>
    <w:unhideWhenUsed/>
    <w:rsid w:val="00B749D5"/>
    <w:rPr>
      <w:sz w:val="16"/>
      <w:szCs w:val="16"/>
    </w:rPr>
  </w:style>
  <w:style w:type="paragraph" w:styleId="CommentText">
    <w:name w:val="annotation text"/>
    <w:basedOn w:val="Normal"/>
    <w:link w:val="CommentTextChar"/>
    <w:uiPriority w:val="99"/>
    <w:semiHidden/>
    <w:unhideWhenUsed/>
    <w:rsid w:val="00B749D5"/>
    <w:rPr>
      <w:sz w:val="20"/>
      <w:szCs w:val="20"/>
    </w:rPr>
  </w:style>
  <w:style w:type="character" w:customStyle="1" w:styleId="CommentTextChar">
    <w:name w:val="Comment Text Char"/>
    <w:basedOn w:val="DefaultParagraphFont"/>
    <w:link w:val="CommentText"/>
    <w:uiPriority w:val="99"/>
    <w:semiHidden/>
    <w:rsid w:val="00B749D5"/>
    <w:rPr>
      <w:sz w:val="20"/>
      <w:szCs w:val="20"/>
    </w:rPr>
  </w:style>
  <w:style w:type="paragraph" w:styleId="CommentSubject">
    <w:name w:val="annotation subject"/>
    <w:basedOn w:val="CommentText"/>
    <w:next w:val="CommentText"/>
    <w:link w:val="CommentSubjectChar"/>
    <w:uiPriority w:val="99"/>
    <w:semiHidden/>
    <w:unhideWhenUsed/>
    <w:rsid w:val="00B749D5"/>
    <w:rPr>
      <w:b/>
      <w:bCs/>
    </w:rPr>
  </w:style>
  <w:style w:type="character" w:customStyle="1" w:styleId="CommentSubjectChar">
    <w:name w:val="Comment Subject Char"/>
    <w:basedOn w:val="CommentTextChar"/>
    <w:link w:val="CommentSubject"/>
    <w:uiPriority w:val="99"/>
    <w:semiHidden/>
    <w:rsid w:val="00B749D5"/>
    <w:rPr>
      <w:b/>
      <w:bCs/>
      <w:sz w:val="20"/>
      <w:szCs w:val="20"/>
    </w:rPr>
  </w:style>
  <w:style w:type="paragraph" w:styleId="BalloonText">
    <w:name w:val="Balloon Text"/>
    <w:basedOn w:val="Normal"/>
    <w:link w:val="BalloonTextChar"/>
    <w:uiPriority w:val="99"/>
    <w:semiHidden/>
    <w:unhideWhenUsed/>
    <w:rsid w:val="00B749D5"/>
    <w:rPr>
      <w:rFonts w:ascii="Tahoma" w:hAnsi="Tahoma" w:cs="Tahoma"/>
      <w:sz w:val="16"/>
      <w:szCs w:val="16"/>
    </w:rPr>
  </w:style>
  <w:style w:type="character" w:customStyle="1" w:styleId="BalloonTextChar">
    <w:name w:val="Balloon Text Char"/>
    <w:basedOn w:val="DefaultParagraphFont"/>
    <w:link w:val="BalloonText"/>
    <w:uiPriority w:val="99"/>
    <w:semiHidden/>
    <w:rsid w:val="00B749D5"/>
    <w:rPr>
      <w:rFonts w:ascii="Tahoma" w:hAnsi="Tahoma" w:cs="Tahoma"/>
      <w:sz w:val="16"/>
      <w:szCs w:val="16"/>
    </w:rPr>
  </w:style>
  <w:style w:type="character" w:styleId="Hyperlink">
    <w:name w:val="Hyperlink"/>
    <w:basedOn w:val="DefaultParagraphFont"/>
    <w:uiPriority w:val="99"/>
    <w:unhideWhenUsed/>
    <w:rsid w:val="005025D3"/>
    <w:rPr>
      <w:color w:val="0000FF" w:themeColor="hyperlink"/>
      <w:u w:val="single"/>
    </w:rPr>
  </w:style>
  <w:style w:type="paragraph" w:styleId="Revision">
    <w:name w:val="Revision"/>
    <w:hidden/>
    <w:uiPriority w:val="99"/>
    <w:semiHidden/>
    <w:rsid w:val="00A52E32"/>
  </w:style>
  <w:style w:type="paragraph" w:customStyle="1" w:styleId="Default">
    <w:name w:val="Default"/>
    <w:rsid w:val="00E22F80"/>
    <w:pPr>
      <w:autoSpaceDE w:val="0"/>
      <w:autoSpaceDN w:val="0"/>
      <w:adjustRightInd w:val="0"/>
    </w:pPr>
    <w:rPr>
      <w:rFonts w:ascii="XLVJM E+ Futura" w:hAnsi="XLVJM E+ Futura" w:cs="XLVJM E+ Futura"/>
      <w:color w:val="000000"/>
    </w:rPr>
  </w:style>
  <w:style w:type="paragraph" w:styleId="FootnoteText">
    <w:name w:val="footnote text"/>
    <w:basedOn w:val="Normal"/>
    <w:link w:val="FootnoteTextChar"/>
    <w:uiPriority w:val="99"/>
    <w:semiHidden/>
    <w:unhideWhenUsed/>
    <w:rsid w:val="00E22F80"/>
    <w:rPr>
      <w:sz w:val="20"/>
      <w:szCs w:val="20"/>
    </w:rPr>
  </w:style>
  <w:style w:type="character" w:customStyle="1" w:styleId="FootnoteTextChar">
    <w:name w:val="Footnote Text Char"/>
    <w:basedOn w:val="DefaultParagraphFont"/>
    <w:link w:val="FootnoteText"/>
    <w:uiPriority w:val="99"/>
    <w:semiHidden/>
    <w:rsid w:val="00E22F80"/>
    <w:rPr>
      <w:sz w:val="20"/>
      <w:szCs w:val="20"/>
    </w:rPr>
  </w:style>
  <w:style w:type="character" w:styleId="FootnoteReference">
    <w:name w:val="footnote reference"/>
    <w:basedOn w:val="DefaultParagraphFont"/>
    <w:uiPriority w:val="99"/>
    <w:semiHidden/>
    <w:unhideWhenUsed/>
    <w:rsid w:val="00E22F80"/>
    <w:rPr>
      <w:vertAlign w:val="superscript"/>
    </w:rPr>
  </w:style>
  <w:style w:type="paragraph" w:styleId="NormalWeb">
    <w:name w:val="Normal (Web)"/>
    <w:basedOn w:val="Normal"/>
    <w:uiPriority w:val="99"/>
    <w:unhideWhenUsed/>
    <w:rsid w:val="006E470C"/>
    <w:pPr>
      <w:spacing w:after="150" w:line="375" w:lineRule="atLeast"/>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43BEF"/>
  </w:style>
  <w:style w:type="character" w:customStyle="1" w:styleId="EndnoteTextChar">
    <w:name w:val="Endnote Text Char"/>
    <w:basedOn w:val="DefaultParagraphFont"/>
    <w:link w:val="EndnoteText"/>
    <w:uiPriority w:val="99"/>
    <w:rsid w:val="00A43BEF"/>
  </w:style>
  <w:style w:type="character" w:styleId="EndnoteReference">
    <w:name w:val="endnote reference"/>
    <w:basedOn w:val="DefaultParagraphFont"/>
    <w:uiPriority w:val="99"/>
    <w:unhideWhenUsed/>
    <w:rsid w:val="00A43BEF"/>
    <w:rPr>
      <w:vertAlign w:val="superscript"/>
    </w:rPr>
  </w:style>
  <w:style w:type="paragraph" w:styleId="ListParagraph">
    <w:name w:val="List Paragraph"/>
    <w:basedOn w:val="Normal"/>
    <w:uiPriority w:val="34"/>
    <w:qFormat/>
    <w:rsid w:val="00BE3ACE"/>
    <w:pPr>
      <w:ind w:left="720"/>
      <w:contextualSpacing/>
    </w:pPr>
  </w:style>
  <w:style w:type="character" w:styleId="CommentReference">
    <w:name w:val="annotation reference"/>
    <w:basedOn w:val="DefaultParagraphFont"/>
    <w:uiPriority w:val="99"/>
    <w:semiHidden/>
    <w:unhideWhenUsed/>
    <w:rsid w:val="00B749D5"/>
    <w:rPr>
      <w:sz w:val="16"/>
      <w:szCs w:val="16"/>
    </w:rPr>
  </w:style>
  <w:style w:type="paragraph" w:styleId="CommentText">
    <w:name w:val="annotation text"/>
    <w:basedOn w:val="Normal"/>
    <w:link w:val="CommentTextChar"/>
    <w:uiPriority w:val="99"/>
    <w:semiHidden/>
    <w:unhideWhenUsed/>
    <w:rsid w:val="00B749D5"/>
    <w:rPr>
      <w:sz w:val="20"/>
      <w:szCs w:val="20"/>
    </w:rPr>
  </w:style>
  <w:style w:type="character" w:customStyle="1" w:styleId="CommentTextChar">
    <w:name w:val="Comment Text Char"/>
    <w:basedOn w:val="DefaultParagraphFont"/>
    <w:link w:val="CommentText"/>
    <w:uiPriority w:val="99"/>
    <w:semiHidden/>
    <w:rsid w:val="00B749D5"/>
    <w:rPr>
      <w:sz w:val="20"/>
      <w:szCs w:val="20"/>
    </w:rPr>
  </w:style>
  <w:style w:type="paragraph" w:styleId="CommentSubject">
    <w:name w:val="annotation subject"/>
    <w:basedOn w:val="CommentText"/>
    <w:next w:val="CommentText"/>
    <w:link w:val="CommentSubjectChar"/>
    <w:uiPriority w:val="99"/>
    <w:semiHidden/>
    <w:unhideWhenUsed/>
    <w:rsid w:val="00B749D5"/>
    <w:rPr>
      <w:b/>
      <w:bCs/>
    </w:rPr>
  </w:style>
  <w:style w:type="character" w:customStyle="1" w:styleId="CommentSubjectChar">
    <w:name w:val="Comment Subject Char"/>
    <w:basedOn w:val="CommentTextChar"/>
    <w:link w:val="CommentSubject"/>
    <w:uiPriority w:val="99"/>
    <w:semiHidden/>
    <w:rsid w:val="00B749D5"/>
    <w:rPr>
      <w:b/>
      <w:bCs/>
      <w:sz w:val="20"/>
      <w:szCs w:val="20"/>
    </w:rPr>
  </w:style>
  <w:style w:type="paragraph" w:styleId="BalloonText">
    <w:name w:val="Balloon Text"/>
    <w:basedOn w:val="Normal"/>
    <w:link w:val="BalloonTextChar"/>
    <w:uiPriority w:val="99"/>
    <w:semiHidden/>
    <w:unhideWhenUsed/>
    <w:rsid w:val="00B749D5"/>
    <w:rPr>
      <w:rFonts w:ascii="Tahoma" w:hAnsi="Tahoma" w:cs="Tahoma"/>
      <w:sz w:val="16"/>
      <w:szCs w:val="16"/>
    </w:rPr>
  </w:style>
  <w:style w:type="character" w:customStyle="1" w:styleId="BalloonTextChar">
    <w:name w:val="Balloon Text Char"/>
    <w:basedOn w:val="DefaultParagraphFont"/>
    <w:link w:val="BalloonText"/>
    <w:uiPriority w:val="99"/>
    <w:semiHidden/>
    <w:rsid w:val="00B749D5"/>
    <w:rPr>
      <w:rFonts w:ascii="Tahoma" w:hAnsi="Tahoma" w:cs="Tahoma"/>
      <w:sz w:val="16"/>
      <w:szCs w:val="16"/>
    </w:rPr>
  </w:style>
  <w:style w:type="character" w:styleId="Hyperlink">
    <w:name w:val="Hyperlink"/>
    <w:basedOn w:val="DefaultParagraphFont"/>
    <w:uiPriority w:val="99"/>
    <w:unhideWhenUsed/>
    <w:rsid w:val="005025D3"/>
    <w:rPr>
      <w:color w:val="0000FF" w:themeColor="hyperlink"/>
      <w:u w:val="single"/>
    </w:rPr>
  </w:style>
  <w:style w:type="paragraph" w:styleId="Revision">
    <w:name w:val="Revision"/>
    <w:hidden/>
    <w:uiPriority w:val="99"/>
    <w:semiHidden/>
    <w:rsid w:val="00A52E32"/>
  </w:style>
  <w:style w:type="paragraph" w:customStyle="1" w:styleId="Default">
    <w:name w:val="Default"/>
    <w:rsid w:val="00E22F80"/>
    <w:pPr>
      <w:autoSpaceDE w:val="0"/>
      <w:autoSpaceDN w:val="0"/>
      <w:adjustRightInd w:val="0"/>
    </w:pPr>
    <w:rPr>
      <w:rFonts w:ascii="XLVJM E+ Futura" w:hAnsi="XLVJM E+ Futura" w:cs="XLVJM E+ Futura"/>
      <w:color w:val="000000"/>
    </w:rPr>
  </w:style>
  <w:style w:type="paragraph" w:styleId="FootnoteText">
    <w:name w:val="footnote text"/>
    <w:basedOn w:val="Normal"/>
    <w:link w:val="FootnoteTextChar"/>
    <w:uiPriority w:val="99"/>
    <w:semiHidden/>
    <w:unhideWhenUsed/>
    <w:rsid w:val="00E22F80"/>
    <w:rPr>
      <w:sz w:val="20"/>
      <w:szCs w:val="20"/>
    </w:rPr>
  </w:style>
  <w:style w:type="character" w:customStyle="1" w:styleId="FootnoteTextChar">
    <w:name w:val="Footnote Text Char"/>
    <w:basedOn w:val="DefaultParagraphFont"/>
    <w:link w:val="FootnoteText"/>
    <w:uiPriority w:val="99"/>
    <w:semiHidden/>
    <w:rsid w:val="00E22F80"/>
    <w:rPr>
      <w:sz w:val="20"/>
      <w:szCs w:val="20"/>
    </w:rPr>
  </w:style>
  <w:style w:type="character" w:styleId="FootnoteReference">
    <w:name w:val="footnote reference"/>
    <w:basedOn w:val="DefaultParagraphFont"/>
    <w:uiPriority w:val="99"/>
    <w:semiHidden/>
    <w:unhideWhenUsed/>
    <w:rsid w:val="00E22F80"/>
    <w:rPr>
      <w:vertAlign w:val="superscript"/>
    </w:rPr>
  </w:style>
  <w:style w:type="paragraph" w:styleId="NormalWeb">
    <w:name w:val="Normal (Web)"/>
    <w:basedOn w:val="Normal"/>
    <w:uiPriority w:val="99"/>
    <w:unhideWhenUsed/>
    <w:rsid w:val="006E470C"/>
    <w:pPr>
      <w:spacing w:after="150" w:line="375"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388123">
      <w:bodyDiv w:val="1"/>
      <w:marLeft w:val="0"/>
      <w:marRight w:val="0"/>
      <w:marTop w:val="0"/>
      <w:marBottom w:val="0"/>
      <w:divBdr>
        <w:top w:val="none" w:sz="0" w:space="0" w:color="auto"/>
        <w:left w:val="none" w:sz="0" w:space="0" w:color="auto"/>
        <w:bottom w:val="none" w:sz="0" w:space="0" w:color="auto"/>
        <w:right w:val="none" w:sz="0" w:space="0" w:color="auto"/>
      </w:divBdr>
      <w:divsChild>
        <w:div w:id="632903342">
          <w:marLeft w:val="0"/>
          <w:marRight w:val="0"/>
          <w:marTop w:val="0"/>
          <w:marBottom w:val="0"/>
          <w:divBdr>
            <w:top w:val="single" w:sz="36" w:space="0" w:color="075290"/>
            <w:left w:val="none" w:sz="0" w:space="0" w:color="auto"/>
            <w:bottom w:val="none" w:sz="0" w:space="0" w:color="auto"/>
            <w:right w:val="none" w:sz="0" w:space="0" w:color="auto"/>
          </w:divBdr>
          <w:divsChild>
            <w:div w:id="2035493705">
              <w:marLeft w:val="0"/>
              <w:marRight w:val="0"/>
              <w:marTop w:val="0"/>
              <w:marBottom w:val="0"/>
              <w:divBdr>
                <w:top w:val="none" w:sz="0" w:space="0" w:color="auto"/>
                <w:left w:val="none" w:sz="0" w:space="0" w:color="auto"/>
                <w:bottom w:val="none" w:sz="0" w:space="0" w:color="auto"/>
                <w:right w:val="none" w:sz="0" w:space="0" w:color="auto"/>
              </w:divBdr>
              <w:divsChild>
                <w:div w:id="70081615">
                  <w:marLeft w:val="0"/>
                  <w:marRight w:val="0"/>
                  <w:marTop w:val="150"/>
                  <w:marBottom w:val="0"/>
                  <w:divBdr>
                    <w:top w:val="none" w:sz="0" w:space="0" w:color="auto"/>
                    <w:left w:val="none" w:sz="0" w:space="0" w:color="auto"/>
                    <w:bottom w:val="none" w:sz="0" w:space="0" w:color="auto"/>
                    <w:right w:val="none" w:sz="0" w:space="0" w:color="auto"/>
                  </w:divBdr>
                  <w:divsChild>
                    <w:div w:id="897518393">
                      <w:marLeft w:val="-150"/>
                      <w:marRight w:val="0"/>
                      <w:marTop w:val="0"/>
                      <w:marBottom w:val="0"/>
                      <w:divBdr>
                        <w:top w:val="none" w:sz="0" w:space="0" w:color="auto"/>
                        <w:left w:val="none" w:sz="0" w:space="0" w:color="auto"/>
                        <w:bottom w:val="none" w:sz="0" w:space="0" w:color="auto"/>
                        <w:right w:val="none" w:sz="0" w:space="0" w:color="auto"/>
                      </w:divBdr>
                      <w:divsChild>
                        <w:div w:id="1812135987">
                          <w:marLeft w:val="0"/>
                          <w:marRight w:val="0"/>
                          <w:marTop w:val="0"/>
                          <w:marBottom w:val="0"/>
                          <w:divBdr>
                            <w:top w:val="none" w:sz="0" w:space="0" w:color="auto"/>
                            <w:left w:val="none" w:sz="0" w:space="0" w:color="auto"/>
                            <w:bottom w:val="none" w:sz="0" w:space="0" w:color="auto"/>
                            <w:right w:val="none" w:sz="0" w:space="0" w:color="auto"/>
                          </w:divBdr>
                          <w:divsChild>
                            <w:div w:id="498279526">
                              <w:marLeft w:val="0"/>
                              <w:marRight w:val="0"/>
                              <w:marTop w:val="0"/>
                              <w:marBottom w:val="0"/>
                              <w:divBdr>
                                <w:top w:val="none" w:sz="0" w:space="0" w:color="auto"/>
                                <w:left w:val="none" w:sz="0" w:space="0" w:color="auto"/>
                                <w:bottom w:val="none" w:sz="0" w:space="0" w:color="auto"/>
                                <w:right w:val="none" w:sz="0" w:space="0" w:color="auto"/>
                              </w:divBdr>
                              <w:divsChild>
                                <w:div w:id="544490641">
                                  <w:marLeft w:val="-150"/>
                                  <w:marRight w:val="0"/>
                                  <w:marTop w:val="0"/>
                                  <w:marBottom w:val="0"/>
                                  <w:divBdr>
                                    <w:top w:val="none" w:sz="0" w:space="0" w:color="auto"/>
                                    <w:left w:val="none" w:sz="0" w:space="0" w:color="auto"/>
                                    <w:bottom w:val="none" w:sz="0" w:space="0" w:color="auto"/>
                                    <w:right w:val="none" w:sz="0" w:space="0" w:color="auto"/>
                                  </w:divBdr>
                                  <w:divsChild>
                                    <w:div w:id="21127619">
                                      <w:marLeft w:val="0"/>
                                      <w:marRight w:val="0"/>
                                      <w:marTop w:val="0"/>
                                      <w:marBottom w:val="0"/>
                                      <w:divBdr>
                                        <w:top w:val="none" w:sz="0" w:space="0" w:color="auto"/>
                                        <w:left w:val="none" w:sz="0" w:space="0" w:color="auto"/>
                                        <w:bottom w:val="none" w:sz="0" w:space="0" w:color="auto"/>
                                        <w:right w:val="none" w:sz="0" w:space="0" w:color="auto"/>
                                      </w:divBdr>
                                      <w:divsChild>
                                        <w:div w:id="1687098383">
                                          <w:marLeft w:val="0"/>
                                          <w:marRight w:val="0"/>
                                          <w:marTop w:val="0"/>
                                          <w:marBottom w:val="0"/>
                                          <w:divBdr>
                                            <w:top w:val="none" w:sz="0" w:space="0" w:color="auto"/>
                                            <w:left w:val="none" w:sz="0" w:space="0" w:color="auto"/>
                                            <w:bottom w:val="none" w:sz="0" w:space="0" w:color="auto"/>
                                            <w:right w:val="none" w:sz="0" w:space="0" w:color="auto"/>
                                          </w:divBdr>
                                          <w:divsChild>
                                            <w:div w:id="4626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379633">
      <w:bodyDiv w:val="1"/>
      <w:marLeft w:val="0"/>
      <w:marRight w:val="0"/>
      <w:marTop w:val="0"/>
      <w:marBottom w:val="0"/>
      <w:divBdr>
        <w:top w:val="none" w:sz="0" w:space="0" w:color="auto"/>
        <w:left w:val="none" w:sz="0" w:space="0" w:color="auto"/>
        <w:bottom w:val="none" w:sz="0" w:space="0" w:color="auto"/>
        <w:right w:val="none" w:sz="0" w:space="0" w:color="auto"/>
      </w:divBdr>
      <w:divsChild>
        <w:div w:id="1124082580">
          <w:marLeft w:val="0"/>
          <w:marRight w:val="0"/>
          <w:marTop w:val="0"/>
          <w:marBottom w:val="0"/>
          <w:divBdr>
            <w:top w:val="single" w:sz="36" w:space="0" w:color="075290"/>
            <w:left w:val="none" w:sz="0" w:space="0" w:color="auto"/>
            <w:bottom w:val="none" w:sz="0" w:space="0" w:color="auto"/>
            <w:right w:val="none" w:sz="0" w:space="0" w:color="auto"/>
          </w:divBdr>
          <w:divsChild>
            <w:div w:id="461074018">
              <w:marLeft w:val="0"/>
              <w:marRight w:val="0"/>
              <w:marTop w:val="0"/>
              <w:marBottom w:val="0"/>
              <w:divBdr>
                <w:top w:val="none" w:sz="0" w:space="0" w:color="auto"/>
                <w:left w:val="none" w:sz="0" w:space="0" w:color="auto"/>
                <w:bottom w:val="none" w:sz="0" w:space="0" w:color="auto"/>
                <w:right w:val="none" w:sz="0" w:space="0" w:color="auto"/>
              </w:divBdr>
              <w:divsChild>
                <w:div w:id="204560247">
                  <w:marLeft w:val="0"/>
                  <w:marRight w:val="0"/>
                  <w:marTop w:val="150"/>
                  <w:marBottom w:val="0"/>
                  <w:divBdr>
                    <w:top w:val="none" w:sz="0" w:space="0" w:color="auto"/>
                    <w:left w:val="none" w:sz="0" w:space="0" w:color="auto"/>
                    <w:bottom w:val="none" w:sz="0" w:space="0" w:color="auto"/>
                    <w:right w:val="none" w:sz="0" w:space="0" w:color="auto"/>
                  </w:divBdr>
                  <w:divsChild>
                    <w:div w:id="1871215878">
                      <w:marLeft w:val="-150"/>
                      <w:marRight w:val="0"/>
                      <w:marTop w:val="0"/>
                      <w:marBottom w:val="0"/>
                      <w:divBdr>
                        <w:top w:val="none" w:sz="0" w:space="0" w:color="auto"/>
                        <w:left w:val="none" w:sz="0" w:space="0" w:color="auto"/>
                        <w:bottom w:val="none" w:sz="0" w:space="0" w:color="auto"/>
                        <w:right w:val="none" w:sz="0" w:space="0" w:color="auto"/>
                      </w:divBdr>
                      <w:divsChild>
                        <w:div w:id="624045979">
                          <w:marLeft w:val="0"/>
                          <w:marRight w:val="0"/>
                          <w:marTop w:val="0"/>
                          <w:marBottom w:val="0"/>
                          <w:divBdr>
                            <w:top w:val="none" w:sz="0" w:space="0" w:color="auto"/>
                            <w:left w:val="none" w:sz="0" w:space="0" w:color="auto"/>
                            <w:bottom w:val="none" w:sz="0" w:space="0" w:color="auto"/>
                            <w:right w:val="none" w:sz="0" w:space="0" w:color="auto"/>
                          </w:divBdr>
                          <w:divsChild>
                            <w:div w:id="2091387552">
                              <w:marLeft w:val="0"/>
                              <w:marRight w:val="0"/>
                              <w:marTop w:val="0"/>
                              <w:marBottom w:val="0"/>
                              <w:divBdr>
                                <w:top w:val="none" w:sz="0" w:space="0" w:color="auto"/>
                                <w:left w:val="none" w:sz="0" w:space="0" w:color="auto"/>
                                <w:bottom w:val="none" w:sz="0" w:space="0" w:color="auto"/>
                                <w:right w:val="none" w:sz="0" w:space="0" w:color="auto"/>
                              </w:divBdr>
                              <w:divsChild>
                                <w:div w:id="2048791073">
                                  <w:marLeft w:val="-150"/>
                                  <w:marRight w:val="0"/>
                                  <w:marTop w:val="0"/>
                                  <w:marBottom w:val="0"/>
                                  <w:divBdr>
                                    <w:top w:val="none" w:sz="0" w:space="0" w:color="auto"/>
                                    <w:left w:val="none" w:sz="0" w:space="0" w:color="auto"/>
                                    <w:bottom w:val="none" w:sz="0" w:space="0" w:color="auto"/>
                                    <w:right w:val="none" w:sz="0" w:space="0" w:color="auto"/>
                                  </w:divBdr>
                                  <w:divsChild>
                                    <w:div w:id="90515332">
                                      <w:marLeft w:val="0"/>
                                      <w:marRight w:val="0"/>
                                      <w:marTop w:val="0"/>
                                      <w:marBottom w:val="0"/>
                                      <w:divBdr>
                                        <w:top w:val="none" w:sz="0" w:space="0" w:color="auto"/>
                                        <w:left w:val="none" w:sz="0" w:space="0" w:color="auto"/>
                                        <w:bottom w:val="none" w:sz="0" w:space="0" w:color="auto"/>
                                        <w:right w:val="none" w:sz="0" w:space="0" w:color="auto"/>
                                      </w:divBdr>
                                      <w:divsChild>
                                        <w:div w:id="1959097149">
                                          <w:marLeft w:val="0"/>
                                          <w:marRight w:val="0"/>
                                          <w:marTop w:val="0"/>
                                          <w:marBottom w:val="0"/>
                                          <w:divBdr>
                                            <w:top w:val="none" w:sz="0" w:space="0" w:color="auto"/>
                                            <w:left w:val="none" w:sz="0" w:space="0" w:color="auto"/>
                                            <w:bottom w:val="none" w:sz="0" w:space="0" w:color="auto"/>
                                            <w:right w:val="none" w:sz="0" w:space="0" w:color="auto"/>
                                          </w:divBdr>
                                          <w:divsChild>
                                            <w:div w:id="12578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cdph.ca.gov/Programs/CCDPHP/DCDIC/CTCB/Pages/SurveyInstrument.aspx" TargetMode="External"/><Relationship Id="rId4" Type="http://schemas.openxmlformats.org/officeDocument/2006/relationships/hyperlink" Target="http://www.cdc.gov/uscs" TargetMode="External"/><Relationship Id="rId5" Type="http://schemas.openxmlformats.org/officeDocument/2006/relationships/hyperlink" Target="https://www.cdc.gov/tobacco/stateandcommunity/best_practices/pdfs/2014/comprehensive.pdf" TargetMode="External"/><Relationship Id="rId6" Type="http://schemas.openxmlformats.org/officeDocument/2006/relationships/hyperlink" Target="https://www.cdc.gov/psr/index.html" TargetMode="External"/><Relationship Id="rId1" Type="http://schemas.openxmlformats.org/officeDocument/2006/relationships/hyperlink" Target="https://www.surgeongeneral.gov/priorities/prevention/strategy/report.pdf" TargetMode="External"/><Relationship Id="rId2" Type="http://schemas.openxmlformats.org/officeDocument/2006/relationships/hyperlink" Target="https://www.cdph.ca.gov/Programs/CCDPHP/DCDIC/CTCB/CDPH%20Document%20Library/TEROC/MasterPlan/20152017MasterPlanChangingLandscapeCounteringNewThrea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824D0-30E0-084D-820E-0169F060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1489</Words>
  <Characters>8489</Characters>
  <Application>Microsoft Macintosh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Jim Keddy</Company>
  <LinksUpToDate>false</LinksUpToDate>
  <CharactersWithSpaces>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Pro</dc:creator>
  <cp:lastModifiedBy>Jeff Davis</cp:lastModifiedBy>
  <cp:revision>2</cp:revision>
  <cp:lastPrinted>2017-12-07T03:56:00Z</cp:lastPrinted>
  <dcterms:created xsi:type="dcterms:W3CDTF">2017-12-08T23:18:00Z</dcterms:created>
  <dcterms:modified xsi:type="dcterms:W3CDTF">2017-12-08T23:18:00Z</dcterms:modified>
</cp:coreProperties>
</file>