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776"/>
        <w:gridCol w:w="8042"/>
      </w:tblGrid>
      <w:tr w:rsidR="00C946BF" w:rsidTr="0017640C">
        <w:tc>
          <w:tcPr>
            <w:tcW w:w="2628" w:type="dxa"/>
            <w:shd w:val="clear" w:color="auto" w:fill="auto"/>
          </w:tcPr>
          <w:p w:rsidR="00C946BF" w:rsidRPr="00201655" w:rsidRDefault="00C946BF" w:rsidP="0017640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72F81B" wp14:editId="53A4EF43">
                  <wp:extent cx="1625600" cy="965200"/>
                  <wp:effectExtent l="0" t="0" r="0" b="0"/>
                  <wp:docPr id="6" name="Picture 6" descr="Jeff's HD:Users:jeff:Desktop:can logo high res:CANlogo(wTAG)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ff's HD:Users:jeff:Desktop:can logo high res:CANlogo(wTAG)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C946BF" w:rsidRDefault="00C946BF" w:rsidP="00C946B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Site Coordinator Community of Practice</w:t>
            </w:r>
          </w:p>
          <w:p w:rsidR="00C946BF" w:rsidRPr="00201655" w:rsidRDefault="00C946BF" w:rsidP="00C946B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Meeting One Agenda</w:t>
            </w:r>
          </w:p>
          <w:p w:rsidR="00C946BF" w:rsidRPr="00201655" w:rsidRDefault="00C946BF" w:rsidP="0017640C">
            <w:pPr>
              <w:ind w:left="720"/>
              <w:rPr>
                <w:rFonts w:ascii="Arial" w:eastAsia="Calibri" w:hAnsi="Arial" w:cs="Arial"/>
                <w:i/>
              </w:rPr>
            </w:pPr>
          </w:p>
        </w:tc>
      </w:tr>
    </w:tbl>
    <w:p w:rsidR="00C946BF" w:rsidRDefault="00C946BF" w:rsidP="00C946B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</w:p>
    <w:p w:rsidR="00C946BF" w:rsidRDefault="00C946BF" w:rsidP="00C946B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Site Coordinator Community of Practice  </w:t>
      </w:r>
    </w:p>
    <w:p w:rsidR="00C946BF" w:rsidRDefault="00C946BF" w:rsidP="00C946BF">
      <w:pPr>
        <w:rPr>
          <w:rFonts w:ascii="Arial" w:hAnsi="Arial" w:cs="Arial"/>
          <w:i/>
        </w:rPr>
      </w:pPr>
      <w:r w:rsidRPr="00B8710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“Communities of practice are groups of people who share a concern or a passion for something they do and learn how to do it better as they interact regularly” </w:t>
      </w:r>
    </w:p>
    <w:p w:rsidR="00C946BF" w:rsidRPr="00B8710F" w:rsidRDefault="00C946BF" w:rsidP="00C946BF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- Etienne Wenger, Social Theorist </w:t>
      </w:r>
    </w:p>
    <w:p w:rsidR="00C946BF" w:rsidRPr="00965CCE" w:rsidRDefault="00C946BF" w:rsidP="00C946BF">
      <w:pPr>
        <w:tabs>
          <w:tab w:val="left" w:pos="2340"/>
        </w:tabs>
        <w:spacing w:before="240"/>
        <w:ind w:right="-13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Goals for the Site Coordinator Community of Practice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Quality Standards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of promising practices related to Quality Standards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the Continuous Quality Improvement (CQI) Process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capacity to implement a CQI Process </w:t>
      </w:r>
    </w:p>
    <w:p w:rsidR="00C946BF" w:rsidRPr="00AC759C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Opportunity to share your challenges and needs related to CQI (to influence broader statewide system of support) </w:t>
      </w:r>
    </w:p>
    <w:p w:rsidR="00C946BF" w:rsidRDefault="00C946BF" w:rsidP="00C946BF">
      <w:pPr>
        <w:pStyle w:val="Heading1"/>
        <w:jc w:val="center"/>
        <w:rPr>
          <w:rFonts w:cs="Arial"/>
          <w:sz w:val="24"/>
          <w:szCs w:val="24"/>
        </w:rPr>
      </w:pPr>
    </w:p>
    <w:p w:rsidR="00C946BF" w:rsidRDefault="00C946BF" w:rsidP="00C946BF">
      <w:pPr>
        <w:pStyle w:val="Heading1"/>
        <w:spacing w:befor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Agenda</w:t>
      </w:r>
    </w:p>
    <w:p w:rsidR="00C946BF" w:rsidRPr="00FF28B8" w:rsidRDefault="00C946BF" w:rsidP="00C946BF"/>
    <w:p w:rsidR="00C946BF" w:rsidRPr="00690971" w:rsidRDefault="00C946BF" w:rsidP="00C946BF">
      <w:pPr>
        <w:tabs>
          <w:tab w:val="left" w:pos="2340"/>
        </w:tabs>
        <w:ind w:left="1080" w:right="-126" w:hanging="1080"/>
        <w:rPr>
          <w:rFonts w:ascii="Arial" w:hAnsi="Arial" w:cs="Arial"/>
        </w:rPr>
      </w:pPr>
      <w:r w:rsidRPr="00471112">
        <w:rPr>
          <w:rFonts w:ascii="Arial" w:hAnsi="Arial" w:cs="Arial"/>
        </w:rPr>
        <w:tab/>
        <w:t>Welcome</w:t>
      </w:r>
    </w:p>
    <w:p w:rsidR="00C946BF" w:rsidRPr="00471112" w:rsidRDefault="00C946BF" w:rsidP="00C946BF">
      <w:pPr>
        <w:rPr>
          <w:rFonts w:ascii="Arial" w:hAnsi="Arial" w:cs="Arial"/>
          <w:i/>
          <w:iCs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>Overview of Site Coordinator Community of Practice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Teambuilding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Break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Quality Standards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Promising Practices around the Quality Standards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Lunch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Reflection: Where have we been today, where are we going next?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Next steps and Takeaways </w:t>
      </w:r>
    </w:p>
    <w:p w:rsidR="00C946BF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Closing and Evaluation </w:t>
      </w:r>
    </w:p>
    <w:p w:rsidR="00F471D3" w:rsidRDefault="00F471D3"/>
    <w:p w:rsidR="00624BC8" w:rsidRDefault="00624BC8"/>
    <w:p w:rsidR="00624BC8" w:rsidRDefault="00624BC8"/>
    <w:tbl>
      <w:tblPr>
        <w:tblW w:w="108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776"/>
        <w:gridCol w:w="8042"/>
      </w:tblGrid>
      <w:tr w:rsidR="00624BC8" w:rsidTr="00472730">
        <w:tc>
          <w:tcPr>
            <w:tcW w:w="2628" w:type="dxa"/>
            <w:shd w:val="clear" w:color="auto" w:fill="auto"/>
          </w:tcPr>
          <w:p w:rsidR="00624BC8" w:rsidRPr="00201655" w:rsidRDefault="00624BC8" w:rsidP="0047273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0BD284" wp14:editId="2997F40A">
                  <wp:extent cx="1625600" cy="965200"/>
                  <wp:effectExtent l="0" t="0" r="0" b="0"/>
                  <wp:docPr id="1" name="Picture 1" descr="Jeff's HD:Users:jeff:Desktop:can logo high res:CANlogo(wTAG)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ff's HD:Users:jeff:Desktop:can logo high res:CANlogo(wTAG)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624BC8" w:rsidRDefault="00624BC8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Site Coordinator Community of Practice</w:t>
            </w:r>
          </w:p>
          <w:p w:rsidR="00624BC8" w:rsidRPr="00201655" w:rsidRDefault="00624BC8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Meeting two Agenda</w:t>
            </w:r>
          </w:p>
          <w:p w:rsidR="00624BC8" w:rsidRPr="00201655" w:rsidRDefault="00624BC8" w:rsidP="00472730">
            <w:pPr>
              <w:ind w:left="720"/>
              <w:rPr>
                <w:rFonts w:ascii="Arial" w:eastAsia="Calibri" w:hAnsi="Arial" w:cs="Arial"/>
                <w:i/>
              </w:rPr>
            </w:pPr>
          </w:p>
        </w:tc>
      </w:tr>
    </w:tbl>
    <w:p w:rsidR="00624BC8" w:rsidRDefault="00624BC8" w:rsidP="00624BC8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</w:p>
    <w:p w:rsidR="00624BC8" w:rsidRDefault="00624BC8" w:rsidP="00624BC8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Site Coordinator Community of Practice  </w:t>
      </w:r>
    </w:p>
    <w:p w:rsidR="00624BC8" w:rsidRDefault="00624BC8" w:rsidP="00624BC8">
      <w:pPr>
        <w:rPr>
          <w:rFonts w:ascii="Arial" w:hAnsi="Arial" w:cs="Arial"/>
          <w:i/>
        </w:rPr>
      </w:pPr>
      <w:r w:rsidRPr="00B8710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“Communities of practice are groups of people who share a concern or a passion for something they do and learn how to do it better as they interact regularly” </w:t>
      </w:r>
    </w:p>
    <w:p w:rsidR="00624BC8" w:rsidRPr="00B8710F" w:rsidRDefault="00624BC8" w:rsidP="00624BC8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- Etienne Wenger, Social Theorist </w:t>
      </w:r>
    </w:p>
    <w:p w:rsidR="00624BC8" w:rsidRPr="00965CCE" w:rsidRDefault="00624BC8" w:rsidP="00624BC8">
      <w:pPr>
        <w:tabs>
          <w:tab w:val="left" w:pos="2340"/>
        </w:tabs>
        <w:spacing w:before="240"/>
        <w:ind w:right="-13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Goals for the Site Coordinator Community of Practice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Quality Standards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of promising practices related to Quality Standards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the Continuous Quality Improvement (CQI) Process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capacity to implement a CQI Process </w:t>
      </w:r>
    </w:p>
    <w:p w:rsidR="00624BC8" w:rsidRPr="00AC759C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Opportunity to share your challenges and needs related to CQI (to influence broader statewide system of support) </w:t>
      </w:r>
    </w:p>
    <w:p w:rsidR="00624BC8" w:rsidRDefault="00624BC8" w:rsidP="00624BC8">
      <w:pPr>
        <w:pStyle w:val="Heading1"/>
        <w:jc w:val="center"/>
        <w:rPr>
          <w:rFonts w:cs="Arial"/>
          <w:sz w:val="24"/>
          <w:szCs w:val="24"/>
        </w:rPr>
      </w:pPr>
    </w:p>
    <w:p w:rsidR="00624BC8" w:rsidRDefault="00624BC8" w:rsidP="00624BC8">
      <w:pPr>
        <w:pStyle w:val="Heading1"/>
        <w:spacing w:befor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Agenda</w:t>
      </w:r>
    </w:p>
    <w:p w:rsidR="00624BC8" w:rsidRPr="00FF28B8" w:rsidRDefault="00624BC8" w:rsidP="00624BC8"/>
    <w:p w:rsidR="00624BC8" w:rsidRPr="00690971" w:rsidRDefault="00624BC8" w:rsidP="00624BC8">
      <w:pPr>
        <w:tabs>
          <w:tab w:val="left" w:pos="2340"/>
        </w:tabs>
        <w:ind w:left="1080" w:right="-126" w:hanging="1080"/>
        <w:rPr>
          <w:rFonts w:ascii="Arial" w:hAnsi="Arial" w:cs="Arial"/>
        </w:rPr>
      </w:pPr>
      <w:r w:rsidRPr="00471112">
        <w:rPr>
          <w:rFonts w:ascii="Arial" w:hAnsi="Arial" w:cs="Arial"/>
        </w:rPr>
        <w:tab/>
        <w:t>Welcome</w:t>
      </w:r>
    </w:p>
    <w:p w:rsidR="00624BC8" w:rsidRPr="00471112" w:rsidRDefault="00624BC8" w:rsidP="00624BC8">
      <w:pPr>
        <w:rPr>
          <w:rFonts w:ascii="Arial" w:hAnsi="Arial" w:cs="Arial"/>
          <w:i/>
          <w:iCs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Review of Community of Practice </w:t>
      </w:r>
    </w:p>
    <w:p w:rsidR="00624BC8" w:rsidRDefault="00624BC8" w:rsidP="00624BC8">
      <w:pPr>
        <w:ind w:left="1080" w:right="-130"/>
        <w:rPr>
          <w:rFonts w:ascii="Arial" w:hAnsi="Arial" w:cs="Arial"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Expectations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Teambuilding 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Quality Standards </w:t>
      </w:r>
      <w:r>
        <w:rPr>
          <w:rFonts w:ascii="Arial" w:hAnsi="Arial" w:cs="Arial"/>
        </w:rPr>
        <w:t xml:space="preserve">and Continuous Quality Improvement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Break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Creating a Site Level CQI Plan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Lunch</w:t>
      </w:r>
    </w:p>
    <w:p w:rsidR="00624BC8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Peer Learning Session: CQI Journey</w:t>
      </w:r>
      <w:r w:rsidRPr="00690971">
        <w:rPr>
          <w:rFonts w:ascii="Arial" w:hAnsi="Arial" w:cs="Arial"/>
        </w:rPr>
        <w:t xml:space="preserve">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Reflections and Next Steps </w:t>
      </w:r>
    </w:p>
    <w:p w:rsidR="00624BC8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Closing and Evaluation </w:t>
      </w:r>
    </w:p>
    <w:p w:rsidR="00624BC8" w:rsidRDefault="00624BC8" w:rsidP="00624BC8"/>
    <w:tbl>
      <w:tblPr>
        <w:tblW w:w="108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776"/>
        <w:gridCol w:w="8042"/>
      </w:tblGrid>
      <w:tr w:rsidR="00624BC8" w:rsidTr="00472730">
        <w:tc>
          <w:tcPr>
            <w:tcW w:w="2628" w:type="dxa"/>
            <w:shd w:val="clear" w:color="auto" w:fill="auto"/>
          </w:tcPr>
          <w:p w:rsidR="00624BC8" w:rsidRPr="00201655" w:rsidRDefault="00624BC8" w:rsidP="0047273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804824" wp14:editId="1F5C571C">
                  <wp:extent cx="1625600" cy="965200"/>
                  <wp:effectExtent l="0" t="0" r="0" b="0"/>
                  <wp:docPr id="2" name="Picture 2" descr="Jeff's HD:Users:jeff:Desktop:can logo high res:CANlogo(wTAG)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ff's HD:Users:jeff:Desktop:can logo high res:CANlogo(wTAG)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624BC8" w:rsidRDefault="00624BC8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Site Coordinator Community of Practice</w:t>
            </w:r>
          </w:p>
          <w:p w:rsidR="00624BC8" w:rsidRPr="00201655" w:rsidRDefault="00624BC8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Meeting Three Agenda</w:t>
            </w:r>
          </w:p>
          <w:p w:rsidR="00624BC8" w:rsidRPr="00201655" w:rsidRDefault="00624BC8" w:rsidP="00472730">
            <w:pPr>
              <w:ind w:left="720"/>
              <w:rPr>
                <w:rFonts w:ascii="Arial" w:eastAsia="Calibri" w:hAnsi="Arial" w:cs="Arial"/>
                <w:i/>
              </w:rPr>
            </w:pPr>
          </w:p>
        </w:tc>
      </w:tr>
    </w:tbl>
    <w:p w:rsidR="00624BC8" w:rsidRDefault="00624BC8" w:rsidP="00624BC8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</w:p>
    <w:p w:rsidR="00624BC8" w:rsidRDefault="00624BC8" w:rsidP="00624BC8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Site Coordinator Community of Practice  </w:t>
      </w:r>
    </w:p>
    <w:p w:rsidR="00624BC8" w:rsidRDefault="00624BC8" w:rsidP="00624BC8">
      <w:pPr>
        <w:rPr>
          <w:rFonts w:ascii="Arial" w:hAnsi="Arial" w:cs="Arial"/>
          <w:i/>
        </w:rPr>
      </w:pPr>
      <w:r w:rsidRPr="00B8710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“Communities of practice are groups of people who share a concern or a passion for something they do and learn how to do it better as they interact regularly” </w:t>
      </w:r>
    </w:p>
    <w:p w:rsidR="00624BC8" w:rsidRPr="00B8710F" w:rsidRDefault="00624BC8" w:rsidP="00624BC8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- Etienne Wenger, Social Theorist </w:t>
      </w:r>
    </w:p>
    <w:p w:rsidR="00624BC8" w:rsidRPr="00965CCE" w:rsidRDefault="00624BC8" w:rsidP="00624BC8">
      <w:pPr>
        <w:tabs>
          <w:tab w:val="left" w:pos="2340"/>
        </w:tabs>
        <w:spacing w:before="240"/>
        <w:ind w:right="-13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Goals for the Site Coordinator Community of Practice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Quality Standards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of promising practices related to Quality Standards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the Continuous Quality Improvement (CQI) Process </w:t>
      </w:r>
    </w:p>
    <w:p w:rsidR="00624BC8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capacity to implement a CQI Process </w:t>
      </w:r>
    </w:p>
    <w:p w:rsidR="00624BC8" w:rsidRPr="00AC759C" w:rsidRDefault="00624BC8" w:rsidP="00624B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Opportunity to share your challenges and needs related to CQI (to influence broader statewide system of support) </w:t>
      </w:r>
    </w:p>
    <w:p w:rsidR="00624BC8" w:rsidRDefault="00624BC8" w:rsidP="00624BC8">
      <w:pPr>
        <w:pStyle w:val="Heading1"/>
        <w:jc w:val="center"/>
        <w:rPr>
          <w:rFonts w:cs="Arial"/>
          <w:sz w:val="24"/>
          <w:szCs w:val="24"/>
        </w:rPr>
      </w:pPr>
    </w:p>
    <w:p w:rsidR="00624BC8" w:rsidRDefault="00624BC8" w:rsidP="00624BC8">
      <w:pPr>
        <w:pStyle w:val="Heading1"/>
        <w:spacing w:befor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Agenda</w:t>
      </w:r>
    </w:p>
    <w:p w:rsidR="00624BC8" w:rsidRPr="00FF28B8" w:rsidRDefault="00624BC8" w:rsidP="00624BC8"/>
    <w:p w:rsidR="00624BC8" w:rsidRPr="00690971" w:rsidRDefault="00624BC8" w:rsidP="00624BC8">
      <w:pPr>
        <w:tabs>
          <w:tab w:val="left" w:pos="2340"/>
        </w:tabs>
        <w:ind w:left="1080" w:right="-126" w:hanging="1080"/>
        <w:rPr>
          <w:rFonts w:ascii="Arial" w:hAnsi="Arial" w:cs="Arial"/>
        </w:rPr>
      </w:pPr>
      <w:r w:rsidRPr="00471112">
        <w:rPr>
          <w:rFonts w:ascii="Arial" w:hAnsi="Arial" w:cs="Arial"/>
        </w:rPr>
        <w:tab/>
        <w:t>Welcome</w:t>
      </w:r>
    </w:p>
    <w:p w:rsidR="00624BC8" w:rsidRPr="00471112" w:rsidRDefault="00624BC8" w:rsidP="00624BC8">
      <w:pPr>
        <w:rPr>
          <w:rFonts w:ascii="Arial" w:hAnsi="Arial" w:cs="Arial"/>
          <w:i/>
          <w:iCs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Review of Community of Practice </w:t>
      </w:r>
    </w:p>
    <w:p w:rsidR="00624BC8" w:rsidRDefault="00624BC8" w:rsidP="00624BC8">
      <w:pPr>
        <w:ind w:left="1080" w:right="-130"/>
        <w:rPr>
          <w:rFonts w:ascii="Arial" w:hAnsi="Arial" w:cs="Arial"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Expectations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Teambuilding  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Surfacing Challenges and Needs of Site Coordinators in the CQI Process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Break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Resources to Support Your CQI Journey</w:t>
      </w: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</w:p>
    <w:p w:rsidR="00624BC8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LUNCH and CELEBRATION</w:t>
      </w:r>
    </w:p>
    <w:p w:rsidR="00624BC8" w:rsidRDefault="00624BC8" w:rsidP="00624BC8">
      <w:pPr>
        <w:ind w:right="-130"/>
        <w:rPr>
          <w:rFonts w:ascii="Arial" w:hAnsi="Arial" w:cs="Arial"/>
        </w:rPr>
      </w:pPr>
    </w:p>
    <w:p w:rsidR="00624BC8" w:rsidRPr="00690971" w:rsidRDefault="00624BC8" w:rsidP="00624BC8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Reflections, Closing and Evaluations</w:t>
      </w:r>
    </w:p>
    <w:p w:rsidR="00624BC8" w:rsidRDefault="00624BC8" w:rsidP="00624BC8"/>
    <w:p w:rsidR="00624BC8" w:rsidRDefault="00624BC8">
      <w:bookmarkStart w:id="0" w:name="_GoBack"/>
      <w:bookmarkEnd w:id="0"/>
    </w:p>
    <w:sectPr w:rsidR="00624BC8" w:rsidSect="00F471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0DB2"/>
    <w:multiLevelType w:val="hybridMultilevel"/>
    <w:tmpl w:val="3692EE9A"/>
    <w:lvl w:ilvl="0" w:tplc="3B7A35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BF"/>
    <w:rsid w:val="00624BC8"/>
    <w:rsid w:val="00C946BF"/>
    <w:rsid w:val="00E20751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F0F50"/>
  <w14:defaultImageDpi w14:val="300"/>
  <w15:docId w15:val="{45FA1401-A2AB-5045-98A7-4FF87CF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6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946BF"/>
    <w:pPr>
      <w:keepNext/>
      <w:tabs>
        <w:tab w:val="left" w:pos="2340"/>
      </w:tabs>
      <w:spacing w:before="120"/>
      <w:ind w:left="1080" w:right="-126" w:hanging="1080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946BF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2527</Characters>
  <Application>Microsoft Office Word</Application>
  <DocSecurity>0</DocSecurity>
  <Lines>21</Lines>
  <Paragraphs>5</Paragraphs>
  <ScaleCrop>false</ScaleCrop>
  <Company>Foundation for California Community Colleges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Nelson</dc:creator>
  <cp:keywords/>
  <dc:description/>
  <cp:lastModifiedBy>Paige Bellanca</cp:lastModifiedBy>
  <cp:revision>2</cp:revision>
  <dcterms:created xsi:type="dcterms:W3CDTF">2016-03-10T18:25:00Z</dcterms:created>
  <dcterms:modified xsi:type="dcterms:W3CDTF">2019-01-08T23:10:00Z</dcterms:modified>
</cp:coreProperties>
</file>